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AU FOND DEVANT LE TRIBUNAL DE COMMERCE</w:t>
      </w:r>
    </w:p>
    <w:p>
      <w:pPr>
        <w:pStyle w:val="Intertitre"/>
      </w:pPr>
      <w:r>
        <w:t xml:space="preserve"> — choisir une seule variante</w:t>
      </w:r>
    </w:p>
    <w:p>
      <w:pPr>
        <w:pStyle w:val="Variante"/>
      </w:pPr>
      <w:r>
        <w:t xml:space="preserve">Variante : PROJET D’ASSIGNATION À COMPARAÎTRE DEVANT LE TRIBUNAL DE COMMERCE</w:t>
      </w:r>
    </w:p>
    <w:p>
      <w:pPr>
        <w:pStyle w:val="Corps"/>
      </w:pPr>
      <w:r>
        <w:t xml:space="preserve">Le présent projet est établi à la requête de [Demandeur] contre [Défendeur]. Il ne constate ni délivrance de l’acte, ni remise au greffe, ni désignation définitive d’une audience tant que ces événements ne sont pas établis.</w:t>
      </w:r>
    </w:p>
    <w:p>
      <w:pPr>
        <w:pStyle w:val="Variante"/>
      </w:pPr>
      <w:r>
        <w:t xml:space="preserve">Variante : ASSIGNATION À COMPARAÎTRE DEVANT LE TRIBUNAL DE COMMERCE</w:t>
      </w:r>
    </w:p>
    <w:p>
      <w:pPr>
        <w:pStyle w:val="Corps"/>
      </w:pPr>
      <w:r>
        <w:t xml:space="preserve">À la requête de [Demandeur], il est demandé qu’une assignation soit délivrée à [Défendeur] à l’adresse vérifiée dans le présent acte. La version est prête à être signifiée mais ne prétend pas que la signification ou le placement ont déjà eu lieu. État contrôlé : [Synthèse de signification et de placement].</w:t>
      </w:r>
    </w:p>
    <w:p>
      <w:pPr>
        <w:pStyle w:val="Variante"/>
      </w:pPr>
      <w:r>
        <w:t xml:space="preserve">Variante : ASSIGNATION À COMPARAÎTRE DEVANT LE TRIBUNAL DE COMMERCE — COPIE SIGNIFIÉE</w:t>
      </w:r>
    </w:p>
    <w:p>
      <w:pPr>
        <w:pStyle w:val="Corps"/>
      </w:pPr>
      <w:r>
        <w:t xml:space="preserve">Le [Date de signification], à la requête de [Demandeur], [Nom du commissaire de justice], commissaire de justice demeurant [Demeure du commissaire de justice], a signifié le présent acte à [Destinataire de la signification], domicilié ou établi [Adresse de signification], selon les modalités suivantes : [Modalités de signification]. Qualité de la personne rencontrée : [Qualité de la personne rencontrée]. Signature portée sur l’acte : [Signature du commissaire de justice]. État de procédure contrôlé : [Synthèse de signification et de placement].</w:t>
      </w:r>
    </w:p>
    <w:p>
      <w:pPr>
        <w:pStyle w:val="Intertitre"/>
      </w:pPr>
      <w:r>
        <w:t xml:space="preserve">JURIDICTION SAISIE</w:t>
      </w:r>
    </w:p>
    <w:p>
      <w:pPr>
        <w:pStyle w:val="Corps"/>
      </w:pPr>
      <w:r>
        <w:t xml:space="preserve">La demande est portée devant [Tribunal saisi], [Chambre ou formation]. La compétence d’attribution et la compétence territoriale sont exposées séparément ci-après à partir des faits et pièces propres au dossier.</w:t>
      </w:r>
    </w:p>
    <w:p>
      <w:pPr>
        <w:pStyle w:val="Intertitre"/>
      </w:pPr>
      <w:r>
        <w:t xml:space="preserve"> — choisir une seule variante</w:t>
      </w:r>
    </w:p>
    <w:p>
      <w:pPr>
        <w:pStyle w:val="Variante"/>
      </w:pPr>
      <w:r>
        <w:t xml:space="preserve">Variante : COMPÉTENCE — ENGAGEMENTS ENTRE COMMERÇANTS</w:t>
      </w:r>
    </w:p>
    <w:p>
      <w:pPr>
        <w:pStyle w:val="Corps"/>
      </w:pPr>
      <w:r>
        <w:t xml:space="preserve">Le litige oppose des parties ayant contracté dans l’exercice de leur activité commerciale. Le rattachement à [Référence de compétence commerciale] résulte de [Preuve de compétence commerciale]. L’analyse complète de compétence d’attribution est la suivante : [Fondement de compétence d'attribution].</w:t>
      </w:r>
    </w:p>
    <w:p>
      <w:pPr>
        <w:pStyle w:val="Variante"/>
      </w:pPr>
      <w:r>
        <w:t xml:space="preserve">Variante : COMPÉTENCE — CONTESTATION RELATIVE À UNE SOCIÉTÉ COMMERCIALE</w:t>
      </w:r>
    </w:p>
    <w:p>
      <w:pPr>
        <w:pStyle w:val="Corps"/>
      </w:pPr>
      <w:r>
        <w:t xml:space="preserve">La contestation se rattache à une société commerciale dans les limites prévues par [Référence de compétence commerciale]. Cette qualification ressort de [Preuve de compétence commerciale] et de l’analyse vérifiée suivante : [Fondement de compétence d'attribution].</w:t>
      </w:r>
    </w:p>
    <w:p>
      <w:pPr>
        <w:pStyle w:val="Variante"/>
      </w:pPr>
      <w:r>
        <w:t xml:space="preserve">Variante : COMPÉTENCE — ACTE DE COMMERCE</w:t>
      </w:r>
    </w:p>
    <w:p>
      <w:pPr>
        <w:pStyle w:val="Corps"/>
      </w:pPr>
      <w:r>
        <w:t xml:space="preserve">L’obligation litigieuse procède d’un acte de commerce identifié par [Preuve de compétence commerciale]. La compétence d’attribution du tribunal de commerce est soutenue par l’analyse vérifiée suivante : [Fondement de compétence d'attribution].</w:t>
      </w:r>
    </w:p>
    <w:p>
      <w:pPr>
        <w:pStyle w:val="Intertitre"/>
      </w:pPr>
      <w:r>
        <w:t xml:space="preserve"> — choisir une seule variante</w:t>
      </w:r>
    </w:p>
    <w:p>
      <w:pPr>
        <w:pStyle w:val="Variante"/>
      </w:pPr>
      <w:r>
        <w:t xml:space="preserve">Variante : COMPÉTENCE TERRITORIALE — LIEU OÙ DEMEURE LE DÉFENDEUR</w:t>
      </w:r>
    </w:p>
    <w:p>
      <w:pPr>
        <w:pStyle w:val="Corps"/>
      </w:pPr>
      <w:r>
        <w:t xml:space="preserve">Le tribunal désigné correspond au lieu où demeure le défendeur. Ce rattachement est établi par [Preuve du domicile du défendeur] et appliqué au dossier selon l’analyse suivante : [Fondement de compétence territoriale].</w:t>
      </w:r>
    </w:p>
    <w:p>
      <w:pPr>
        <w:pStyle w:val="Variante"/>
      </w:pPr>
      <w:r>
        <w:t xml:space="preserve">Variante : COMPÉTENCE TERRITORIALE — OPTION CONTRACTUELLE</w:t>
      </w:r>
    </w:p>
    <w:p>
      <w:pPr>
        <w:pStyle w:val="Corps"/>
      </w:pPr>
      <w:r>
        <w:t xml:space="preserve">La demande contractuelle est portée devant la juridiction du lieu de livraison effective ou d’exécution de la prestation, situé [Lieu d'exécution contractuelle]. Ce lieu ressort de [Preuve du lieu d'exécution]. Son rattachement au litige est justifié ainsi : [Fondement de compétence territoriale].</w:t>
      </w:r>
    </w:p>
    <w:p>
      <w:pPr>
        <w:pStyle w:val="Variante"/>
      </w:pPr>
      <w:r>
        <w:t xml:space="preserve">Variante : COMPÉTENCE TERRITORIALE — OPTION DÉLICTUELLE</w:t>
      </w:r>
    </w:p>
    <w:p>
      <w:pPr>
        <w:pStyle w:val="Corps"/>
      </w:pPr>
      <w:r>
        <w:t xml:space="preserve">La demande délictuelle est rattachée au lieu du fait dommageable ou au ressort dans lequel le dommage a été subi, identifié comme suit : [Lieu du fait ou du dommage]. Les pièces de rattachement sont [Preuve du rattachement délictuel]. L’analyse appliquée est : [Fondement de compétence territoriale].</w:t>
      </w:r>
    </w:p>
    <w:p>
      <w:pPr>
        <w:pStyle w:val="Variante"/>
      </w:pPr>
      <w:r>
        <w:t xml:space="preserve">Variante : COMPÉTENCE TERRITORIALE — CLAUSE ATTRIBUTIVE VÉRIFIÉE</w:t>
      </w:r>
    </w:p>
    <w:p>
      <w:pPr>
        <w:pStyle w:val="Corps"/>
      </w:pPr>
      <w:r>
        <w:t xml:space="preserve">La clause invoquée est : [Clause attributive]. Toutes les parties ont contracté en qualité de commerçant selon [Qualité de commerçant des parties]. Son caractère très apparent dans l’engagement opposé est établi par [Caractère très apparent]. L’analyse de son efficacité et du tribunal désigné est : [Fondement de compétence territoriale].</w:t>
      </w:r>
    </w:p>
    <w:p>
      <w:pPr>
        <w:pStyle w:val="Intertitre"/>
      </w:pPr>
      <w:r>
        <w:t xml:space="preserve">À LA REQUÊTE DE</w:t>
      </w:r>
    </w:p>
    <w:p>
      <w:pPr>
        <w:pStyle w:val="Corps"/>
      </w:pPr>
      <w:r>
        <w:t xml:space="preserve">[Demandeur], [Qualité du demandeur], immatriculé sous la référence [Immatriculation du demandeur], dont le siège est [Siège du demandeur]. La concordance des identités, adresses et qualités figurant dans l’acte est établie par : [Synthèse d'identification des parties].</w:t>
      </w:r>
    </w:p>
    <w:p>
      <w:pPr>
        <w:pStyle w:val="Intertitre"/>
      </w:pPr>
      <w:r>
        <w:t xml:space="preserve">REPRÉSENTATION LÉGALE DU DEMANDEUR</w:t>
      </w:r>
    </w:p>
    <w:p>
      <w:pPr>
        <w:pStyle w:val="Corps"/>
      </w:pPr>
      <w:r>
        <w:t xml:space="preserve">Le demandeur agit par [Représentant légal du demandeur]. La qualité et le pouvoir permettant d’introduire l’action sont établis par [Pouvoir du représentant légal] ; aucune habilitation ne résulte d’une simple déduction à partir de la dénomination sociale.</w:t>
      </w:r>
    </w:p>
    <w:p>
      <w:pPr>
        <w:pStyle w:val="Intertitre"/>
      </w:pPr>
      <w:r>
        <w:t xml:space="preserve">ASSIGNATION DÉLIVRÉE À</w:t>
      </w:r>
    </w:p>
    <w:p>
      <w:pPr>
        <w:pStyle w:val="Corps"/>
      </w:pPr>
      <w:r>
        <w:t xml:space="preserve">[Défendeur], [Qualité du défendeur], immatriculé sous la référence [Immatriculation du défendeur], dont le siège ou domicile vérifié est [Adresse du défendeur]. Cette adresse est celle retenue pour la destination de l’acte, sous réserve des constatations propres à la signification.</w:t>
      </w:r>
    </w:p>
    <w:p>
      <w:pPr>
        <w:pStyle w:val="Intertitre"/>
      </w:pPr>
      <w:r>
        <w:t xml:space="preserve"> — choisir une seule variante</w:t>
      </w:r>
    </w:p>
    <w:p>
      <w:pPr>
        <w:pStyle w:val="Variante"/>
      </w:pPr>
      <w:r>
        <w:t xml:space="preserve">Variante : CONSTITUTION D’AVOCAT</w:t>
      </w:r>
    </w:p>
    <w:p>
      <w:pPr>
        <w:pStyle w:val="Corps"/>
      </w:pPr>
      <w:r>
        <w:t xml:space="preserve">Le demandeur constitue [Avocat constitué], avocat inscrit au barreau de [Barreau de l'avocat], domicilié professionnellement [Adresse professionnelle de l'avocat]. Le défendeur est informé que, hors dispense légalement applicable, il doit constituer avocat devant le tribunal de commerce et que cette constitution emporte élection de domicile.</w:t>
      </w:r>
    </w:p>
    <w:p>
      <w:pPr>
        <w:pStyle w:val="Variante"/>
      </w:pPr>
      <w:r>
        <w:t xml:space="preserve">Variante : DISPENSE VÉRIFIÉE — MONTANT DE LA DEMANDE OU DE L’OBLIGATION</w:t>
      </w:r>
    </w:p>
    <w:p>
      <w:pPr>
        <w:pStyle w:val="Corps"/>
      </w:pPr>
      <w:r>
        <w:t xml:space="preserve">La dispense est appréciée sur un montant de [Montant apprécié pour la dispense], comparé au seuil officiel [Seuil officiel de dispense de représentation]. Son fondement et sa méthode de calcul sont : [Fondement de la dispense de constitution]. Le demandeur est représenté par [Représentant choisi], [Qualité du représentant choisi], domicilié [Adresse du représentant choisi]. Le pouvoir spécial est établi par [Pouvoir spécial].</w:t>
      </w:r>
    </w:p>
    <w:p>
      <w:pPr>
        <w:pStyle w:val="Variante"/>
      </w:pPr>
      <w:r>
        <w:t xml:space="preserve">Variante : DISPENSE VÉRIFIÉE — PROCÉDURE DU LIVRE VI</w:t>
      </w:r>
    </w:p>
    <w:p>
      <w:pPr>
        <w:pStyle w:val="Corps"/>
      </w:pPr>
      <w:r>
        <w:t xml:space="preserve">La dispense de constitution d’avocat est invoquée dans le cadre précis d’une procédure instituée par le livre VI du code de commerce. Cette qualification est établie par [Fondement de la dispense de constitution]. Le demandeur est représenté par [Représentant choisi], [Qualité du représentant choisi], domicilié [Adresse du représentant choisi], sur pouvoir spécial référencé [Pouvoir spécial] lorsqu’il n’est pas avocat.</w:t>
      </w:r>
    </w:p>
    <w:p>
      <w:pPr>
        <w:pStyle w:val="Variante"/>
      </w:pPr>
      <w:r>
        <w:t xml:space="preserve">Variante : DISPENSE VÉRIFIÉE — LITIGE RELATIF AU REGISTRE DU COMMERCE ET DES SOCIÉTÉS</w:t>
      </w:r>
    </w:p>
    <w:p>
      <w:pPr>
        <w:pStyle w:val="Corps"/>
      </w:pPr>
      <w:r>
        <w:t xml:space="preserve">La dispense de constitution d’avocat est fondée sur la nature vérifiée du litige relatif à la tenue du registre du commerce et des sociétés : [Fondement de la dispense de constitution]. Le demandeur est représenté par [Représentant choisi], [Qualité du représentant choisi], domicilié [Adresse du représentant choisi]. Le pouvoir spécial requis pour un représentant non avocat est identifié par [Pouvoir spécial].</w:t>
      </w:r>
    </w:p>
    <w:p>
      <w:pPr>
        <w:pStyle w:val="Intertitre"/>
      </w:pPr>
      <w:r>
        <w:t xml:space="preserve">OBJET DE L’ASSIGNATION</w:t>
      </w:r>
    </w:p>
    <w:p>
      <w:pPr>
        <w:pStyle w:val="Corps"/>
      </w:pPr>
      <w:r>
        <w:t xml:space="preserve">Le demandeur sollicite une décision au fond portant sur [Objet de la demande]. Chaque condamnation demandée est individualisée dans le dispositif ; aucun accessoire, dépens ou chef subsidiaire n’est réputé sollicité par la seule mention du montant principal.</w:t>
      </w:r>
    </w:p>
    <w:p>
      <w:pPr>
        <w:pStyle w:val="Intertitre"/>
      </w:pPr>
      <w:r>
        <w:t xml:space="preserve">CHIFFRAGE DES DEMANDES</w:t>
      </w:r>
    </w:p>
    <w:p>
      <w:pPr>
        <w:pStyle w:val="Corps"/>
      </w:pPr>
      <w:r>
        <w:t xml:space="preserve">Les chefs cumulatifs sélectionnés sont présentés ainsi : [Synthèse chiffrée]. Leur total contrôlé est de [Total des chefs cumulatifs] euros. Les dépens et toute demande subsidiaire sont traités séparément afin d’éviter un cumul arithmétique erroné.</w:t>
      </w:r>
    </w:p>
    <w:p>
      <w:pPr>
        <w:pStyle w:val="Intertitre"/>
      </w:pPr>
      <w:r>
        <w:t xml:space="preserve">PRINCIPAL RÉCLAMÉ</w:t>
      </w:r>
    </w:p>
    <w:p>
      <w:pPr>
        <w:pStyle w:val="Corps"/>
      </w:pPr>
      <w:r>
        <w:t xml:space="preserve">Le principal demandé s’élève à [Principal demandé] euros. Il résulte du calcul suivant : [Calcul du principal]. Les paiements, avoirs, retenues et contestations documentés ont été imputés avant fixation de ce montant.</w:t>
      </w:r>
    </w:p>
    <w:p>
      <w:pPr>
        <w:pStyle w:val="Intertitre"/>
      </w:pPr>
      <w:r>
        <w:t xml:space="preserve"> — choisir une seule variante</w:t>
      </w:r>
    </w:p>
    <w:p>
      <w:pPr>
        <w:pStyle w:val="Variante"/>
      </w:pPr>
      <w:r>
        <w:t xml:space="preserve">Variante : DEMANDE LIMITÉE AU PRINCIPAL</w:t>
      </w:r>
    </w:p>
    <w:p>
      <w:pPr>
        <w:pStyle w:val="Corps"/>
      </w:pPr>
      <w:r>
        <w:t xml:space="preserve">Le demandeur limite ses chefs cumulatifs au principal expressément chiffré. Aucun intérêt, pénalité, somme fondée sur [Référence des frais irrépétibles], dépens, exécution provisoire spéciale ou demande subsidiaire n’est formulé dans cette branche.</w:t>
      </w:r>
    </w:p>
    <w:p>
      <w:pPr>
        <w:pStyle w:val="Variante"/>
      </w:pPr>
      <w:r>
        <w:t xml:space="preserve">Variante : DEMANDES ACCESSOIRES EXPRESSÉMENT SÉLECTIONNÉES</w:t>
      </w:r>
    </w:p>
    <w:p>
      <w:pPr>
        <w:pStyle w:val="Corps"/>
      </w:pPr>
      <w:r>
        <w:t xml:space="preserve">Outre le principal, seuls les chefs activés dans les paragraphes distincts qui suivent sont soumis au tribunal. Leur fondement, leur chiffrage et leur ordre dans le dispositif doivent rester identiques entre les motifs et les demandes finales.</w:t>
      </w:r>
    </w:p>
    <w:p>
      <w:pPr>
        <w:pStyle w:val="Intertitre"/>
      </w:pPr>
      <w:r>
        <w:t xml:space="preserve">Clause optionnelle : INTÉRÊTS DEMANDÉS</w:t>
      </w:r>
    </w:p>
    <w:p>
      <w:pPr>
        <w:pStyle w:val="Corps"/>
      </w:pPr>
      <w:r>
        <w:t xml:space="preserve">Le demandeur sollicite des intérêts selon [Fondement des intérêts], à compter de [Point de départ des intérêts]. Le montant liquidé arrêté pour le calcul présenté est de [Intérêts liquidés] euros ; l’actualisation ultérieure doit respecter le même taux et le même point de départ.</w:t>
      </w:r>
    </w:p>
    <w:p>
      <w:pPr>
        <w:pStyle w:val="Intertitre"/>
      </w:pPr>
      <w:r>
        <w:t xml:space="preserve">Clause optionnelle : PÉNALITÉ OU INDEMNITÉ DISTINCTE</w:t>
      </w:r>
    </w:p>
    <w:p>
      <w:pPr>
        <w:pStyle w:val="Corps"/>
      </w:pPr>
      <w:r>
        <w:t xml:space="preserve">Le chef de pénalité ou d’indemnité repose sur [Fondement de la pénalité]. Son montant individualisé est de [Montant de la pénalité] euros. Il n’est ni confondu avec le principal, ni présenté comme acquis sans démonstration de ses conditions d’application.</w:t>
      </w:r>
    </w:p>
    <w:p>
      <w:pPr>
        <w:pStyle w:val="Intertitre"/>
      </w:pPr>
      <w:r>
        <w:t xml:space="preserve">Clause optionnelle : FRAIS NON COMPRIS DANS LES DÉPENS</w:t>
      </w:r>
    </w:p>
    <w:p>
      <w:pPr>
        <w:pStyle w:val="Corps"/>
      </w:pPr>
      <w:r>
        <w:t xml:space="preserve">Le demandeur sollicite [Montant demandé au titre de l'article 700] euros au titre de [Référence des frais irrépétibles]. Cette somme est justifiée par [Justification de l'article 700] et demeure distincte des dépens ainsi que des sommes constituant la créance.</w:t>
      </w:r>
    </w:p>
    <w:p>
      <w:pPr>
        <w:pStyle w:val="Intertitre"/>
      </w:pPr>
      <w:r>
        <w:t xml:space="preserve">Clause optionnelle : DÉPENS EXPRESSÉMENT DEMANDÉS</w:t>
      </w:r>
    </w:p>
    <w:p>
      <w:pPr>
        <w:pStyle w:val="Corps"/>
      </w:pPr>
      <w:r>
        <w:t xml:space="preserve">Le demandeur sollicite la condamnation du défendeur aux dépens dans le périmètre suivant : [Demande relative aux dépens]. Ce chef n’est formulé que parce qu’il a été sélectionné et ne se confond pas avec la demande fondée sur [Référence des frais irrépétibles].</w:t>
      </w:r>
    </w:p>
    <w:p>
      <w:pPr>
        <w:pStyle w:val="Intertitre"/>
      </w:pPr>
      <w:r>
        <w:t xml:space="preserve">Clause optionnelle : EXÉCUTION PROVISOIRE</w:t>
      </w:r>
    </w:p>
    <w:p>
      <w:pPr>
        <w:pStyle w:val="Corps"/>
      </w:pPr>
      <w:r>
        <w:t xml:space="preserve">La position demandée au tribunal au titre de l’exécution provisoire est motivée par [Position sur l'exécution provisoire]. Le dispositif reprend cette demande de manière autonome sans présenter comme acquise une décision qui relève du tribunal.</w:t>
      </w:r>
    </w:p>
    <w:p>
      <w:pPr>
        <w:pStyle w:val="Intertitre"/>
      </w:pPr>
      <w:r>
        <w:t xml:space="preserve">Clause optionnelle : DEMANDE SUBSIDIAIRE</w:t>
      </w:r>
    </w:p>
    <w:p>
      <w:pPr>
        <w:pStyle w:val="Corps"/>
      </w:pPr>
      <w:r>
        <w:t xml:space="preserve">À titre subsidiaire et seulement si le chef principal concerné n’est pas accueilli, le demandeur forme la demande suivante : [Demande subsidiaire]. Elle porte sur [Montant subsidiaire] euros et repose sur le fondement distinct suivant : [Fondement subsidiaire].</w:t>
      </w:r>
    </w:p>
    <w:p>
      <w:pPr>
        <w:pStyle w:val="Intertitre"/>
      </w:pPr>
      <w:r>
        <w:t xml:space="preserve">CHRONOLOGIE DE LA RELATION</w:t>
      </w:r>
    </w:p>
    <w:p>
      <w:pPr>
        <w:pStyle w:val="Corps"/>
      </w:pPr>
      <w:r>
        <w:t xml:space="preserve">La relation et les événements utiles se déroulent selon la chronologie suivante : [Chronologie contractuelle]. Cette présentation distingue les dates prouvées, les échéances contractuelles et les événements dont la portée demeure contestée.</w:t>
      </w:r>
    </w:p>
    <w:p>
      <w:pPr>
        <w:pStyle w:val="Intertitre"/>
      </w:pPr>
      <w:r>
        <w:t xml:space="preserve">FORMATION DU RAPPORT COMMERCIAL</w:t>
      </w:r>
    </w:p>
    <w:p>
      <w:pPr>
        <w:pStyle w:val="Corps"/>
      </w:pPr>
      <w:r>
        <w:t xml:space="preserve">Le rapport commercial s’est formé dans les circonstances suivantes : [Formation de la relation]. Les documents invoqués permettent d’identifier l’accord, son objet et les obligations dont l’exécution est demandée.</w:t>
      </w:r>
    </w:p>
    <w:p>
      <w:pPr>
        <w:pStyle w:val="Intertitre"/>
      </w:pPr>
      <w:r>
        <w:t xml:space="preserve">EXÉCUTION DES OBLIGATIONS DU DEMANDEUR</w:t>
      </w:r>
    </w:p>
    <w:p>
      <w:pPr>
        <w:pStyle w:val="Corps"/>
      </w:pPr>
      <w:r>
        <w:t xml:space="preserve">Le demandeur expose avoir exécuté ses obligations comme suit : [Exécution par le demandeur]. Les prestations ou livraisons alléguées sont rapprochées de leurs preuves propres et des éventuelles réserves émises.</w:t>
      </w:r>
    </w:p>
    <w:p>
      <w:pPr>
        <w:pStyle w:val="Intertitre"/>
      </w:pPr>
      <w:r>
        <w:t xml:space="preserve">FACTURATION ET EXIGIBILITÉ</w:t>
      </w:r>
    </w:p>
    <w:p>
      <w:pPr>
        <w:pStyle w:val="Corps"/>
      </w:pPr>
      <w:r>
        <w:t xml:space="preserve">La facturation, les échéances et l’exigibilité de la créance ressortent de [Facturation et exigibilité]. L’exposé tient compte des avoirs, paiements partiels et contestations documentés avant d’arrêter le solde.</w:t>
      </w:r>
    </w:p>
    <w:p>
      <w:pPr>
        <w:pStyle w:val="Intertitre"/>
      </w:pPr>
      <w:r>
        <w:t xml:space="preserve">DÉFAILLANCE ET INTERPELLATIONS</w:t>
      </w:r>
    </w:p>
    <w:p>
      <w:pPr>
        <w:pStyle w:val="Corps"/>
      </w:pPr>
      <w:r>
        <w:t xml:space="preserve">La défaillance invoquée et les démarches adressées au défendeur sont décrites par [Défaillance et relances]. La preuve de leur date, de leur contenu et de leur réception est distinguée de toute affirmation non documentée.</w:t>
      </w:r>
    </w:p>
    <w:p>
      <w:pPr>
        <w:pStyle w:val="Intertitre"/>
      </w:pPr>
      <w:r>
        <w:t xml:space="preserve">RÉPONSES ET CONTESTATIONS DU DÉFENDEUR</w:t>
      </w:r>
    </w:p>
    <w:p>
      <w:pPr>
        <w:pStyle w:val="Corps"/>
      </w:pPr>
      <w:r>
        <w:t xml:space="preserve">La position connue du défendeur est la suivante : [Position du défendeur]. L’acte expose loyalement les contestations communiquées et n’attribue pas au silence une portée qui ne résulte pas des pièces.</w:t>
      </w:r>
    </w:p>
    <w:p>
      <w:pPr>
        <w:pStyle w:val="Intertitre"/>
      </w:pPr>
      <w:r>
        <w:t xml:space="preserve">CONCORDANCE ENTRE FAITS, MONTANTS ET PIÈCES</w:t>
      </w:r>
    </w:p>
    <w:p>
      <w:pPr>
        <w:pStyle w:val="Corps"/>
      </w:pPr>
      <w:r>
        <w:t xml:space="preserve">La concordance contrôlée entre les faits allégués, les montants demandés, les chefs du dispositif et les pièces numérotées est la suivante : [Concordance faits, demandes et pièces]. Toute lacune identifiée demeure exclue des affirmations certaines.</w:t>
      </w:r>
    </w:p>
    <w:p>
      <w:pPr>
        <w:pStyle w:val="Intertitre"/>
      </w:pPr>
      <w:r>
        <w:t xml:space="preserve">OBLIGATION DONT L’EXÉCUTION EST DEMANDÉE</w:t>
      </w:r>
    </w:p>
    <w:p>
      <w:pPr>
        <w:pStyle w:val="Corps"/>
      </w:pPr>
      <w:r>
        <w:t xml:space="preserve">L’obligation invoquée trouve son fondement dans [Fondement de l'obligation]. L’analyse identifie la source de l’obligation, son contenu, son bénéficiaire et les conditions auxquelles son exécution est devenue exigible.</w:t>
      </w:r>
    </w:p>
    <w:p>
      <w:pPr>
        <w:pStyle w:val="Intertitre"/>
      </w:pPr>
      <w:r>
        <w:t xml:space="preserve">MANQUEMENT DU DÉFENDEUR</w:t>
      </w:r>
    </w:p>
    <w:p>
      <w:pPr>
        <w:pStyle w:val="Corps"/>
      </w:pPr>
      <w:r>
        <w:t xml:space="preserve">Le manquement soumis au tribunal est établi de la manière suivante : [Manquement imputé]. Le raisonnement distingue le défaut d’exécution, les causes d’extinction alléguées et la part de l’obligation restant effectivement due.</w:t>
      </w:r>
    </w:p>
    <w:p>
      <w:pPr>
        <w:pStyle w:val="Intertitre"/>
      </w:pPr>
      <w:r>
        <w:t xml:space="preserve">BIEN-FONDÉ DU PRINCIPAL</w:t>
      </w:r>
    </w:p>
    <w:p>
      <w:pPr>
        <w:pStyle w:val="Corps"/>
      </w:pPr>
      <w:r>
        <w:t xml:space="preserve">La condamnation au principal est demandée au terme du raisonnement suivant : [Démonstration du principal]. Ce raisonnement relie les stipulations ou règles applicables aux prestations prouvées, à l’exigibilité et au solde chiffré.</w:t>
      </w:r>
    </w:p>
    <w:p>
      <w:pPr>
        <w:pStyle w:val="Intertitre"/>
      </w:pPr>
      <w:r>
        <w:t xml:space="preserve">PORTÉE DES PIÈCES ET LIEN AVEC LES CHEFS DEMANDÉS</w:t>
      </w:r>
    </w:p>
    <w:p>
      <w:pPr>
        <w:pStyle w:val="Corps"/>
      </w:pPr>
      <w:r>
        <w:t xml:space="preserve">La portée des pièces et leur lien avec chaque condamnation sollicitée sont analysés ainsi : [Preuve et lien avec les demandes]. Un chef ne repose pas sur une pièce citée pour un objet différent ou sur un calcul absent du bordereau.</w:t>
      </w:r>
    </w:p>
    <w:p>
      <w:pPr>
        <w:pStyle w:val="Intertitre"/>
      </w:pPr>
      <w:r>
        <w:t xml:space="preserve"> — choisir une seule variante</w:t>
      </w:r>
    </w:p>
    <w:p>
      <w:pPr>
        <w:pStyle w:val="Variante"/>
      </w:pPr>
      <w:r>
        <w:t xml:space="preserve">Variante : ABSENCE D’OBLIGATION AMIABLE PRÉALABLE APPLICABLE</w:t>
      </w:r>
    </w:p>
    <w:p>
      <w:pPr>
        <w:pStyle w:val="Corps"/>
      </w:pPr>
      <w:r>
        <w:t xml:space="preserve">L’analyse conduite pour le présent litige conclut que l’obligation amiable préalable n’est pas applicable : [Analyse de l'amiable préalable]. Cette conclusion est limitée aux conditions et à la nature de la demande effectivement formée.</w:t>
      </w:r>
    </w:p>
    <w:p>
      <w:pPr>
        <w:pStyle w:val="Variante"/>
      </w:pPr>
      <w:r>
        <w:t xml:space="preserve">Variante : DILIGENCES AMIABLES ACCOMPLIES</w:t>
      </w:r>
    </w:p>
    <w:p>
      <w:pPr>
        <w:pStyle w:val="Corps"/>
      </w:pPr>
      <w:r>
        <w:t xml:space="preserve">Les diligences amiables accomplies avant la saisine sont : [Diligences amiables]. Leur accomplissement et leur résultat sont établis par [Preuve des diligences ou de la dispense] ; l’acte n’étend pas leur portée au-delà de ce que ces pièces démontrent.</w:t>
      </w:r>
    </w:p>
    <w:p>
      <w:pPr>
        <w:pStyle w:val="Variante"/>
      </w:pPr>
      <w:r>
        <w:t xml:space="preserve">Variante : DISPENSE DE TENTATIVE AMIABLE</w:t>
      </w:r>
    </w:p>
    <w:p>
      <w:pPr>
        <w:pStyle w:val="Corps"/>
      </w:pPr>
      <w:r>
        <w:t xml:space="preserve">Le demandeur invoque une dispense dont l’analyse appliquée au dossier est : [Analyse de l'amiable préalable]. Le fait ou la pièce établissant cette dispense est [Preuve des diligences ou de la dispense] ; aucune dispense n’est présumée à partir de l’urgence alléguée seule.</w:t>
      </w:r>
    </w:p>
    <w:p>
      <w:pPr>
        <w:pStyle w:val="Intertitre"/>
      </w:pPr>
      <w:r>
        <w:t xml:space="preserve"> — choisir une seule variante</w:t>
      </w:r>
    </w:p>
    <w:p>
      <w:pPr>
        <w:pStyle w:val="Variante"/>
      </w:pPr>
      <w:r>
        <w:t xml:space="preserve">Variante : AUDIENCE NON ENCORE DÉSIGNÉE DANS CE PROJET</w:t>
      </w:r>
    </w:p>
    <w:p>
      <w:pPr>
        <w:pStyle w:val="Corps"/>
      </w:pPr>
      <w:r>
        <w:t xml:space="preserve">Cette version de projet ne comporte aucune date, heure ou salle d’audience tenue pour acquise. Elle ne doit pas être délivrée tant que les indications de comparution communiquées par la juridiction n’ont pas été contrôlées et intégrées.</w:t>
      </w:r>
    </w:p>
    <w:p>
      <w:pPr>
        <w:pStyle w:val="Variante"/>
      </w:pPr>
      <w:r>
        <w:t xml:space="preserve">Variante : INDICATIONS DE COMPARUTION</w:t>
      </w:r>
    </w:p>
    <w:p>
      <w:pPr>
        <w:pStyle w:val="Corps"/>
      </w:pPr>
      <w:r>
        <w:t xml:space="preserve">Le défendeur est assigné à comparaître à l’audience du [Date d'audience] à [Heure d'audience], qui se tiendra [Lieu de l'audience]. Ces indications sont reproduites depuis l’information confirmée par la juridiction et doivent rester identiques sur la copie délivrée.</w:t>
      </w:r>
    </w:p>
    <w:p>
      <w:pPr>
        <w:pStyle w:val="Intertitre"/>
      </w:pPr>
      <w:r>
        <w:t xml:space="preserve">AVERTISSEMENT SUR L’ASSISTANCE ET LA REPRÉSENTATION</w:t>
      </w:r>
    </w:p>
    <w:p>
      <w:pPr>
        <w:pStyle w:val="Corps"/>
      </w:pPr>
      <w:r>
        <w:t xml:space="preserve">Le défendeur est informé que les parties sont en principe tenues de constituer avocat devant le tribunal de commerce. Une dispense ne peut être retenue que dans l’un des cas prévus par [Référence de représentation commerciale]. Dans un cas de dispense, toute personne choisie peut assister ou représenter une partie ; si cette personne n’est pas avocat, elle doit justifier d’un pouvoir spécial.</w:t>
      </w:r>
    </w:p>
    <w:p>
      <w:pPr>
        <w:pStyle w:val="Intertitre"/>
      </w:pPr>
      <w:r>
        <w:t xml:space="preserve">INFORMATION RELATIVE À UNE DEMANDE DE DÉLAI DE PAIEMENT</w:t>
      </w:r>
    </w:p>
    <w:p>
      <w:pPr>
        <w:pStyle w:val="Corps"/>
      </w:pPr>
      <w:r>
        <w:t xml:space="preserve">La présente assignation comportant une demande en paiement, le défendeur est informé qu’il peut former une demande incidente de délai de paiement fondée sur [Référence civile du délai de paiement] par requête remise ou adressée au greffe et enregistrée par celui-ci. Avant l’audience, il doit justifier que son adversaire en a eu connaissance par lettre recommandée avec demande d’avis de réception et joindre à sa requête les pièces invoquées. Il peut ne pas se présenter à l’audience dans les conditions prévues par [Référence procédurale du délai de paiement] ; le tribunal n’accueille alors les demandes dirigées contre lui que s’il les estime régulières, recevables et bien fondées.</w:t>
      </w:r>
    </w:p>
    <w:p>
      <w:pPr>
        <w:pStyle w:val="Intertitre"/>
      </w:pPr>
      <w:r>
        <w:t xml:space="preserve">PIÈCES INVOQUÉES DANS LE CORPS DE L’ACTE</w:t>
      </w:r>
    </w:p>
    <w:p>
      <w:pPr>
        <w:pStyle w:val="Corps"/>
      </w:pPr>
      <w:r>
        <w:t xml:space="preserve">Les pièces sont citées au soutien des faits et moyens selon la correspondance suivante : [Citations des pièces]. Chaque citation renvoie à une pièce déterminée, communiquée dans un état lisible et rattachée au fait précis qu’elle est destinée à prouver.</w:t>
      </w:r>
    </w:p>
    <w:p>
      <w:pPr>
        <w:pStyle w:val="Intertitre"/>
      </w:pPr>
      <w:r>
        <w:t xml:space="preserve">BORDEREAU DE PIÈCES</w:t>
      </w:r>
    </w:p>
    <w:p>
      <w:pPr>
        <w:pStyle w:val="Corps"/>
      </w:pPr>
      <w:r>
        <w:t xml:space="preserve">Le bordereau annexé à l’acte est le suivant : [Bordereau de pièces]. Sa numérotation, ses intitulés et l’ordre des pièces concordent avec les citations du corps de l’assignation et avec les éléments effectivement disponibles pour la communication.</w:t>
      </w:r>
    </w:p>
    <w:p>
      <w:pPr>
        <w:pStyle w:val="Intertitre"/>
      </w:pPr>
      <w:r>
        <w:t xml:space="preserve">PAR CES MOTIFS</w:t>
      </w:r>
    </w:p>
    <w:p>
      <w:pPr>
        <w:pStyle w:val="Corps"/>
      </w:pPr>
      <w:r>
        <w:t xml:space="preserve">Il est demandé au tribunal de commerce, après avoir déclaré l’action recevable dans les limites des moyens exposés, de statuer séparément sur chacun des chefs ci-dessous. Seuls les paragraphes correspondant aux demandes expressément sélectionnées font partie du dispositif.</w:t>
      </w:r>
    </w:p>
    <w:p>
      <w:pPr>
        <w:pStyle w:val="Intertitre"/>
      </w:pPr>
      <w:r>
        <w:t xml:space="preserve">CONDAMNATION AU PRINCIPAL</w:t>
      </w:r>
    </w:p>
    <w:p>
      <w:pPr>
        <w:pStyle w:val="Corps"/>
      </w:pPr>
      <w:r>
        <w:t xml:space="preserve">Condamner [Défendeur] à payer à [Demandeur] la somme de [Principal demandé] euros en principal, selon le calcul détaillé dans les motifs et sous déduction de tout paiement intervenu et dûment justifié depuis l’arrêté de compte.</w:t>
      </w:r>
    </w:p>
    <w:p>
      <w:pPr>
        <w:pStyle w:val="Intertitre"/>
      </w:pPr>
      <w:r>
        <w:t xml:space="preserve">Clause optionnelle : INTÉRÊTS</w:t>
      </w:r>
    </w:p>
    <w:p>
      <w:pPr>
        <w:pStyle w:val="Corps"/>
      </w:pPr>
      <w:r>
        <w:t xml:space="preserve">Dire que la condamnation au principal portera intérêts selon [Fondement des intérêts] à compter de [Point de départ des intérêts], le montant liquidé de [Intérêts liquidés] euros étant intégré au total arrêté sans préjudice de l’actualisation conforme au même fondement.</w:t>
      </w:r>
    </w:p>
    <w:p>
      <w:pPr>
        <w:pStyle w:val="Intertitre"/>
      </w:pPr>
      <w:r>
        <w:t xml:space="preserve">Clause optionnelle : PÉNALITÉ OU INDEMNITÉ</w:t>
      </w:r>
    </w:p>
    <w:p>
      <w:pPr>
        <w:pStyle w:val="Corps"/>
      </w:pPr>
      <w:r>
        <w:t xml:space="preserve">Condamner [Défendeur] à payer à [Demandeur] la somme distincte de [Montant de la pénalité] euros au titre de [Fondement de la pénalité], après vérification par le tribunal des conditions propres à ce chef.</w:t>
      </w:r>
    </w:p>
    <w:p>
      <w:pPr>
        <w:pStyle w:val="Intertitre"/>
      </w:pPr>
      <w:r>
        <w:t xml:space="preserve">Clause optionnelle : CONDAMNATION AU TITRE DES FRAIS NON COMPRIS DANS LES DÉPENS</w:t>
      </w:r>
    </w:p>
    <w:p>
      <w:pPr>
        <w:pStyle w:val="Corps"/>
      </w:pPr>
      <w:r>
        <w:t xml:space="preserve">Condamner [Défendeur] à payer à [Demandeur] la somme de [Montant demandé au titre de l'article 700] euros sur le fondement de [Référence des frais irrépétibles], au regard de [Justification de l'article 700].</w:t>
      </w:r>
    </w:p>
    <w:p>
      <w:pPr>
        <w:pStyle w:val="Intertitre"/>
      </w:pPr>
      <w:r>
        <w:t xml:space="preserve">Clause optionnelle : DÉPENS</w:t>
      </w:r>
    </w:p>
    <w:p>
      <w:pPr>
        <w:pStyle w:val="Corps"/>
      </w:pPr>
      <w:r>
        <w:t xml:space="preserve">Condamner [Défendeur] aux dépens dans le périmètre expressément demandé et justifié ainsi : [Demande relative aux dépens]. Cette condamnation est sollicitée indépendamment de toute somme fondée sur [Référence des frais irrépétibles].</w:t>
      </w:r>
    </w:p>
    <w:p>
      <w:pPr>
        <w:pStyle w:val="Intertitre"/>
      </w:pPr>
      <w:r>
        <w:t xml:space="preserve">Clause optionnelle : CHEF RELATIF À L’EXÉCUTION PROVISOIRE</w:t>
      </w:r>
    </w:p>
    <w:p>
      <w:pPr>
        <w:pStyle w:val="Corps"/>
      </w:pPr>
      <w:r>
        <w:t xml:space="preserve">Statuer sur l’exécution provisoire conformément à la demande motivée suivante : [Position sur l'exécution provisoire], sans préjuger l’appréciation du tribunal sur les conditions, limites ou garanties éventuellement applicables.</w:t>
      </w:r>
    </w:p>
    <w:p>
      <w:pPr>
        <w:pStyle w:val="Intertitre"/>
      </w:pPr>
      <w:r>
        <w:t xml:space="preserve">Clause optionnelle : CHEF SUBSIDIAIRE DU DISPOSITIF</w:t>
      </w:r>
    </w:p>
    <w:p>
      <w:pPr>
        <w:pStyle w:val="Corps"/>
      </w:pPr>
      <w:r>
        <w:t xml:space="preserve">À défaut d’accueillir le chef principal auquel elle se rapporte, faire droit à la demande subsidiaire suivante : [Demande subsidiaire], pour un montant de [Montant subsidiaire] euros, sur le fondement distinct [Fondement subsidiaire].</w:t>
      </w:r>
    </w:p>
    <w:p>
      <w:pPr>
        <w:pStyle w:val="Intertitre"/>
      </w:pPr>
      <w:r>
        <w:t xml:space="preserve">RÉSERVES</w:t>
      </w:r>
    </w:p>
    <w:p>
      <w:pPr>
        <w:pStyle w:val="Corps"/>
      </w:pPr>
      <w:r>
        <w:t xml:space="preserve">Le demandeur formule les réserves procédurales suivantes : [Réserves procédurales]. Ces réserves ne créent aucun chef de condamnation non chiffré ou non sélectionné et ne modifient pas l’ordre principal puis subsidiaire des demandes exposées.</w:t>
      </w:r>
    </w:p>
    <w:p>
      <w:pPr>
        <w:pStyle w:val="Intertitre"/>
      </w:pPr>
      <w:r>
        <w:t xml:space="preserve"> — choisir une seule variante</w:t>
      </w:r>
    </w:p>
    <w:p>
      <w:pPr>
        <w:pStyle w:val="Variante"/>
      </w:pPr>
      <w:r>
        <w:t xml:space="preserve">Variante : PLACEMENT NON ENCORE OUVERT</w:t>
      </w:r>
    </w:p>
    <w:p>
      <w:pPr>
        <w:pStyle w:val="Corps"/>
      </w:pPr>
      <w:r>
        <w:t xml:space="preserve">Au stade déclaré, aucune signification n’est tenue pour accomplie et aucune remise de la copie au greffe n’est affirmée. Le placement ne pourra être traité qu’après délivrance régulière de l’acte et contrôle du délai applicable au regard de la date d’audience.</w:t>
      </w:r>
    </w:p>
    <w:p>
      <w:pPr>
        <w:pStyle w:val="Variante"/>
      </w:pPr>
      <w:r>
        <w:t xml:space="preserve">Variante : COPIE SIGNIFIÉE — PLACEMENT EN ATTENTE</w:t>
      </w:r>
    </w:p>
    <w:p>
      <w:pPr>
        <w:pStyle w:val="Corps"/>
      </w:pPr>
      <w:r>
        <w:t xml:space="preserve">La copie a été signifiée mais sa remise au greffe n’est pas encore tenue pour accomplie. L’analyse du délai restant et des conséquences d’une remise tardive est la suivante : [Analyse du délai de placement]. Aucun numéro de rôle n’est présenté comme acquis.</w:t>
      </w:r>
    </w:p>
    <w:p>
      <w:pPr>
        <w:pStyle w:val="Variante"/>
      </w:pPr>
      <w:r>
        <w:t xml:space="preserve">Variante : PLACEMENT EFFECTUÉ</w:t>
      </w:r>
    </w:p>
    <w:p>
      <w:pPr>
        <w:pStyle w:val="Corps"/>
      </w:pPr>
      <w:r>
        <w:t xml:space="preserve">La copie de l’assignation a été remise au greffe le [Date de placement] sous la référence [Référence de placement]. Cette remise est établie par [Preuve du placement]. La mention du placement repose sur cette preuve et ne résulte pas de la seule signification de l’acte.</w:t>
      </w:r>
    </w:p>
    <w:p>
      <w:pPr>
        <w:pStyle w:val="Intertitre"/>
      </w:pPr>
      <w:r>
        <w:t xml:space="preserve">SIGNATURE DE L’AUTEUR HABILITÉ</w:t>
      </w:r>
    </w:p>
    <w:p>
      <w:pPr>
        <w:pStyle w:val="Corps"/>
      </w:pPr>
      <w:r>
        <w:t xml:space="preserve">L’acte est signé par [Signataire autorisé], intervenant en qualité de [Qualité du signataire]. Cette signature est celle de l’avocat constitué ou, dans un cas de dispense vérifié, du représentant habilité ; aucune zone de signature du défendeur n’est ajoutée à l’assignation.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