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RÉFÉRÉ AUX FINS DE PROVISION</w:t>
      </w:r>
    </w:p>
    <w:p>
      <w:pPr>
        <w:pStyle w:val="Intertitre"/>
      </w:pPr>
      <w:r>
        <w:t xml:space="preserve">Stade matériel de l'acte — choisir une seule variante</w:t>
      </w:r>
    </w:p>
    <w:p>
      <w:pPr>
        <w:pStyle w:val="Variante"/>
      </w:pPr>
      <w:r>
        <w:t xml:space="preserve">Variante : Projet d'assignation</w:t>
      </w:r>
    </w:p>
    <w:p>
      <w:pPr>
        <w:pStyle w:val="Corps"/>
      </w:pPr>
      <w:r>
        <w:t xml:space="preserve">Le présent acte constitue un projet d'assignation en référé aux fins de provision. Les mentions d'audience, de comparution, de signification et de placement doivent encore être rapprochées des indications du greffe et des diligences du commissaire de justice. Il ne vaut ni acte signifié ni preuve de saisine tant que ces opérations matérielles n'ont pas été accomplies et constatées.</w:t>
      </w:r>
    </w:p>
    <w:p>
      <w:pPr>
        <w:pStyle w:val="Variante"/>
      </w:pPr>
      <w:r>
        <w:t xml:space="preserve">Variante : Assignation prête à signifier</w:t>
      </w:r>
    </w:p>
    <w:p>
      <w:pPr>
        <w:pStyle w:val="Corps"/>
      </w:pPr>
      <w:r>
        <w:t xml:space="preserve">Le présent acte est arrêté pour signification, sous réserve de la concordance finale entre l'identité des parties, l'audience obtenue, les modalités de comparution et le bordereau de pièces. La copie destinée au défendeur doit être délivrée par le commissaire de justice selon les instructions confirmées, puis remise au greffe dans le délai applicable afin de saisir régulièrement la juridiction.</w:t>
      </w:r>
    </w:p>
    <w:p>
      <w:pPr>
        <w:pStyle w:val="Variante"/>
      </w:pPr>
      <w:r>
        <w:t xml:space="preserve">Variante : Acte signifié</w:t>
      </w:r>
    </w:p>
    <w:p>
      <w:pPr>
        <w:pStyle w:val="Corps"/>
      </w:pPr>
      <w:r>
        <w:t xml:space="preserve">Le présent acte a été signifié le [Date de signification] à [Lieu de signification]. Cette indication décrit le stade matériel de la copie servie et doit concorder avec les mentions authentifiées par le commissaire de justice. La signification ne dispense pas le demandeur d'accomplir le placement au greffe ni de conserver la preuve de chaque diligence dans les délais applicables.</w:t>
      </w:r>
    </w:p>
    <w:p>
      <w:pPr>
        <w:pStyle w:val="Intertitre"/>
      </w:pPr>
      <w:r>
        <w:t xml:space="preserve">Juridiction et audience</w:t>
      </w:r>
    </w:p>
    <w:p>
      <w:pPr>
        <w:pStyle w:val="Corps"/>
      </w:pPr>
      <w:r>
        <w:t xml:space="preserve">L'assignation est portée devant [Nom de la juridiction]. L'affaire sera appelée à l'audience du [Date de l'audience] à [Heure de l'audience], au lieu suivant : [Lieu et salle d'audience]. Ces indications reprennent l'audience effectivement communiquée et doivent demeurer identiques dans le corps de l'acte, les instructions de signification, le placement au greffe et les informations remises au défendeur.</w:t>
      </w:r>
    </w:p>
    <w:p>
      <w:pPr>
        <w:pStyle w:val="Intertitre"/>
      </w:pPr>
      <w:r>
        <w:t xml:space="preserve">Juridiction saisie — choisir une seule variante</w:t>
      </w:r>
    </w:p>
    <w:p>
      <w:pPr>
        <w:pStyle w:val="Variante"/>
      </w:pPr>
      <w:r>
        <w:t xml:space="preserve">Variante : Compétence du juge des référés du tribunal judiciaire</w:t>
      </w:r>
    </w:p>
    <w:p>
      <w:pPr>
        <w:pStyle w:val="Corps"/>
      </w:pPr>
      <w:r>
        <w:t xml:space="preserve">La demande relève du juge des référés du tribunal judiciaire en raison des éléments suivants : [Fondement factuel de la compétence matérielle]. La juridiction est saisie d'une demande de provision fondée sur une obligation dont l'existence n'est pas sérieusement contestable. Cette qualification est limitée aux rapports et aux parties désignés dans l'acte et ne préjuge pas d'une demande au fond distincte.</w:t>
      </w:r>
    </w:p>
    <w:p>
      <w:pPr>
        <w:pStyle w:val="Variante"/>
      </w:pPr>
      <w:r>
        <w:t xml:space="preserve">Variante : Compétence du président du tribunal de commerce</w:t>
      </w:r>
    </w:p>
    <w:p>
      <w:pPr>
        <w:pStyle w:val="Corps"/>
      </w:pPr>
      <w:r>
        <w:t xml:space="preserve">La demande relève du président du tribunal de commerce statuant en référé en raison des éléments suivants : [Fondement factuel de la compétence matérielle]. La juridiction commerciale est saisie d'une demande de provision fondée sur une obligation qui n'est pas sérieusement contestable. Le rattachement commercial est exposé à partir de la qualité des parties et de l'opération litigieuse effectivement établies.</w:t>
      </w:r>
    </w:p>
    <w:p>
      <w:pPr>
        <w:pStyle w:val="Intertitre"/>
      </w:pPr>
      <w:r>
        <w:t xml:space="preserve">Compétence territoriale</w:t>
      </w:r>
    </w:p>
    <w:p>
      <w:pPr>
        <w:pStyle w:val="Corps"/>
      </w:pPr>
      <w:r>
        <w:t xml:space="preserve">La compétence territoriale de [Nom de la juridiction] résulte de [Fondement de la compétence territoriale]. Le demandeur distingue le rattachement territorial de la seule compétence matérielle et expose les faits qui rendent ce choix opposable au défendeur. Toute clause attributive, pluralité de défendeurs ou difficulté tenant au lieu d'exécution doit être appréciée dans les limites des pièces expressément visées.</w:t>
      </w:r>
    </w:p>
    <w:p>
      <w:pPr>
        <w:pStyle w:val="Intertitre"/>
      </w:pPr>
      <w:r>
        <w:t xml:space="preserve">Modalités de comparution</w:t>
      </w:r>
    </w:p>
    <w:p>
      <w:pPr>
        <w:pStyle w:val="Corps"/>
      </w:pPr>
      <w:r>
        <w:t xml:space="preserve">Le défendeur est informé des modalités de comparution et de représentation suivantes : [Modalités de comparution]. Il lui appartient de respecter les formes et délais ainsi indiqués pour faire valoir ses observations et communiquer ses pièces. À défaut de comparaître selon les modalités applicables, une décision pourra être rendue sur les seuls éléments régulièrement produits par son adversaire.</w:t>
      </w:r>
    </w:p>
    <w:p>
      <w:pPr>
        <w:pStyle w:val="Intertitre"/>
      </w:pPr>
      <w:r>
        <w:t xml:space="preserve">Signification de l'acte</w:t>
      </w:r>
    </w:p>
    <w:p>
      <w:pPr>
        <w:pStyle w:val="Corps"/>
      </w:pPr>
      <w:r>
        <w:t xml:space="preserve">La délivrance de l'assignation est prévue ou a été réalisée selon les modalités suivantes : [Modalités de signification]. L'acte remis doit reproduire les mentions procédurales applicables, identifier son auteur et permettre d'établir la date ainsi que les circonstances de la remise. Ces diligences doivent rester compatibles avec la date d'audience et le temps utile laissé au défendeur.</w:t>
      </w:r>
    </w:p>
    <w:p>
      <w:pPr>
        <w:pStyle w:val="Intertitre"/>
      </w:pPr>
      <w:r>
        <w:t xml:space="preserve">Placement et saisine</w:t>
      </w:r>
    </w:p>
    <w:p>
      <w:pPr>
        <w:pStyle w:val="Corps"/>
      </w:pPr>
      <w:r>
        <w:t xml:space="preserve">La copie de l'assignation sera remise au greffe selon [Modalités de placement], au plus tard à l'échéance vérifiée suivante : [Échéance de placement]. Le placement doit intervenir après une signification régulière et dans le délai propre à la juridiction saisie. La preuve de la remise au greffe, son horodatage et l'identité du dossier doivent être conservés avec l'acte servi.</w:t>
      </w:r>
    </w:p>
    <w:p>
      <w:pPr>
        <w:pStyle w:val="Intertitre"/>
      </w:pPr>
      <w:r>
        <w:t xml:space="preserve">Demandeur</w:t>
      </w:r>
    </w:p>
    <w:p>
      <w:pPr>
        <w:pStyle w:val="Corps"/>
      </w:pPr>
      <w:r>
        <w:t xml:space="preserve">[Nom ou dénomination du demandeur], agissant en qualité de [Qualité du demandeur], domicilié ou établi [Adresse du demandeur], sollicite le paiement provisionnel exposé ci-après. Cette désignation reprend l'identité complète du titulaire allégué de la créance et permet de le distinguer de tout mandataire, établissement, enseigne ou société appartenant au même groupe.</w:t>
      </w:r>
    </w:p>
    <w:p>
      <w:pPr>
        <w:pStyle w:val="Intertitre"/>
      </w:pPr>
      <w:r>
        <w:t xml:space="preserve">Capacité et pouvoir du demandeur</w:t>
      </w:r>
    </w:p>
    <w:p>
      <w:pPr>
        <w:pStyle w:val="Corps"/>
      </w:pPr>
      <w:r>
        <w:t xml:space="preserve">La capacité d'agir et, le cas échéant, le pouvoir de représentation du demandeur résultent de [Capacité et pouvoir du demandeur]. Les pièces correspondantes établissent la qualité invoquée à la date de l'assignation. Lorsque la créance a été cédée, transmise ou recouvrée par un mandataire, la chaîne de droits et l'étendue du mandat sont produites sans présumer leur opposabilité.</w:t>
      </w:r>
    </w:p>
    <w:p>
      <w:pPr>
        <w:pStyle w:val="Intertitre"/>
      </w:pPr>
      <w:r>
        <w:t xml:space="preserve">Avocat du demandeur</w:t>
      </w:r>
    </w:p>
    <w:p>
      <w:pPr>
        <w:pStyle w:val="Corps"/>
      </w:pPr>
      <w:r>
        <w:t xml:space="preserve">Le demandeur est assisté ou représenté par [Nom de l'avocat constitué], avocat inscrit au barreau de [Barreau de l'avocat], dont les coordonnées professionnelles sont [Coordonnées de l'avocat]. Cette indication vaut constitution dans la mesure permise par les règles applicables à la juridiction saisie. Les notifications et communications procédurales sont adressées selon les modalités légalement requises.</w:t>
      </w:r>
    </w:p>
    <w:p>
      <w:pPr>
        <w:pStyle w:val="Intertitre"/>
      </w:pPr>
      <w:r>
        <w:t xml:space="preserve">Défendeur</w:t>
      </w:r>
    </w:p>
    <w:p>
      <w:pPr>
        <w:pStyle w:val="Corps"/>
      </w:pPr>
      <w:r>
        <w:t xml:space="preserve">La demande est formée contre [Nom ou dénomination du défendeur], pris en qualité de [Qualité du défendeur], domicilié ou établi [Adresse du défendeur]. Cette désignation correspond à la personne à laquelle l'obligation est imputée et à laquelle l'acte doit être délivré. Elle exclut toute confusion avec un établissement secondaire, un représentant ou une entité juridiquement distincte.</w:t>
      </w:r>
    </w:p>
    <w:p>
      <w:pPr>
        <w:pStyle w:val="Intertitre"/>
      </w:pPr>
      <w:r>
        <w:t xml:space="preserve">Qualité et mise en cause du défendeur</w:t>
      </w:r>
    </w:p>
    <w:p>
      <w:pPr>
        <w:pStyle w:val="Corps"/>
      </w:pPr>
      <w:r>
        <w:t xml:space="preserve">Il résulte de [Source d'identification du défendeur] que le défendeur est la personne à laquelle l'obligation litigieuse est imputée. Sa qualité de débiteur, de cocontractant ou d'auteur de l'obligation ressort des faits et pièces exposés ci-après. L'assignation lui est en conséquence délivrée à l'adresse indiquée en tête du présent acte.</w:t>
      </w:r>
    </w:p>
    <w:p>
      <w:pPr>
        <w:pStyle w:val="Intertitre"/>
      </w:pPr>
      <w:r>
        <w:t xml:space="preserve">Origine et objet de la créance</w:t>
      </w:r>
    </w:p>
    <w:p>
      <w:pPr>
        <w:pStyle w:val="Corps"/>
      </w:pPr>
      <w:r>
        <w:t xml:space="preserve">L'obligation de paiement invoquée résulte de [Origine de la créance]. Le demandeur en précise la cause, l'objet, les parties et les conditions essentielles afin que le défendeur puisse identifier la dette réclamée. Le fondement retenu est rapproché du contrat, du titre ou du fait générateur produit, sans confondre la créance principale avec ses accessoires.</w:t>
      </w:r>
    </w:p>
    <w:p>
      <w:pPr>
        <w:pStyle w:val="Intertitre"/>
      </w:pPr>
      <w:r>
        <w:t xml:space="preserve">Exécution par le demandeur</w:t>
      </w:r>
    </w:p>
    <w:p>
      <w:pPr>
        <w:pStyle w:val="Corps"/>
      </w:pPr>
      <w:r>
        <w:t xml:space="preserve">Le demandeur expose avoir exécuté ses propres obligations dans les conditions suivantes : [Exécution du demandeur]. Les prestations, livraisons ou diligences sont présentées chronologiquement et rattachées aux pièces correspondantes. Lorsque l'exécution a donné lieu à réserves, incidents ou acceptations partielles, leur portée est indiquée pour ne pas présenter comme acquis un fait effectivement discuté.</w:t>
      </w:r>
    </w:p>
    <w:p>
      <w:pPr>
        <w:pStyle w:val="Intertitre"/>
      </w:pPr>
      <w:r>
        <w:t xml:space="preserve">Factures et échéances</w:t>
      </w:r>
    </w:p>
    <w:p>
      <w:pPr>
        <w:pStyle w:val="Corps"/>
      </w:pPr>
      <w:r>
        <w:t xml:space="preserve">Les factures, appels de fonds ou échéances composant la créance sont récapitulés comme suit : [Tableau des factures et échéances]. Pour chaque poste, le demandeur distingue la date d'émission, l'échéance, le montant, les avoirs et la référence de la pièce. Cette présentation permet de vérifier que chaque somme était exigible au jour de la demande de provision.</w:t>
      </w:r>
    </w:p>
    <w:p>
      <w:pPr>
        <w:pStyle w:val="Intertitre"/>
      </w:pPr>
      <w:r>
        <w:t xml:space="preserve">Éléments de preuve</w:t>
      </w:r>
    </w:p>
    <w:p>
      <w:pPr>
        <w:pStyle w:val="Corps"/>
      </w:pPr>
      <w:r>
        <w:t xml:space="preserve">Le principe et l'étendue de l'obligation sont établis par les éléments suivants : [Pièces établissant la créance]. Chaque document est invoqué pour un fait déterminé et non par simple accumulation. Les pièces contractuelles, justificatifs d'exécution, échanges et documents comptables sont rapprochés entre eux afin d'identifier les concordances ainsi que toute réserve susceptible d'affecter la demande.</w:t>
      </w:r>
    </w:p>
    <w:p>
      <w:pPr>
        <w:pStyle w:val="Intertitre"/>
      </w:pPr>
      <w:r>
        <w:t xml:space="preserve">Décompte de la créance</w:t>
      </w:r>
    </w:p>
    <w:p>
      <w:pPr>
        <w:pStyle w:val="Corps"/>
      </w:pPr>
      <w:r>
        <w:t xml:space="preserve">Les sommes demeurées impayées sont retracées dans le décompte suivant : [Décompte des sommes impayées]. Le calcul distingue le principal, les paiements reçus, les avoirs, les retenues et les accessoires. Il est arrêté à une date identifiable, ne double aucun poste et permet de reconstituer le solde sans recourir à une donnée extérieure au dossier communiqué.</w:t>
      </w:r>
    </w:p>
    <w:p>
      <w:pPr>
        <w:pStyle w:val="Intertitre"/>
      </w:pPr>
      <w:r>
        <w:t xml:space="preserve">Demande préalable de paiement</w:t>
      </w:r>
    </w:p>
    <w:p>
      <w:pPr>
        <w:pStyle w:val="Corps"/>
      </w:pPr>
      <w:r>
        <w:t xml:space="preserve">Le paiement a été demandé le [Date de la mise en demeure] selon les modalités suivantes : [Mode et contenu de la mise en demeure]. Cette démarche a porté à la connaissance du débiteur l'origine, le montant et l'exigibilité de la somme réclamée. La preuve d'envoi ou de réception et le contenu effectivement transmis sont produits pour apprécier la portée de cette interpellation.</w:t>
      </w:r>
    </w:p>
    <w:p>
      <w:pPr>
        <w:pStyle w:val="Intertitre"/>
      </w:pPr>
      <w:r>
        <w:t xml:space="preserve">Position du débiteur — choisir une seule variante</w:t>
      </w:r>
    </w:p>
    <w:p>
      <w:pPr>
        <w:pStyle w:val="Variante"/>
      </w:pPr>
      <w:r>
        <w:t xml:space="preserve">Variante : Absence de réponse du débiteur</w:t>
      </w:r>
    </w:p>
    <w:p>
      <w:pPr>
        <w:pStyle w:val="Corps"/>
      </w:pPr>
      <w:r>
        <w:t xml:space="preserve">Le débiteur n'a formulé aucune réponse utile à la demande de paiement dans le délai qui lui était laissé. Cette absence ne vaut pas, à elle seule, reconnaissance de la dette ; elle est seulement rapprochée des pièces établissant l'obligation, son exécution et son exigibilité. La provision reste fondée sur les éléments positifs produits par le demandeur.</w:t>
      </w:r>
    </w:p>
    <w:p>
      <w:pPr>
        <w:pStyle w:val="Variante"/>
      </w:pPr>
      <w:r>
        <w:t xml:space="preserve">Variante : Reconnaissance partielle</w:t>
      </w:r>
    </w:p>
    <w:p>
      <w:pPr>
        <w:pStyle w:val="Corps"/>
      </w:pPr>
      <w:r>
        <w:t xml:space="preserve">Dans sa réponse, le débiteur a reconnu une fraction de l'obligation à hauteur de [Montant reconnu] dans les termes suivants : [Position exprimée par le débiteur]. Cette admission est appréciée dans sa portée exacte, sans l'étendre aux postes réservés ou contestés. Elle est rapprochée du décompte afin d'identifier la part susceptible de justifier immédiatement une provision.</w:t>
      </w:r>
    </w:p>
    <w:p>
      <w:pPr>
        <w:pStyle w:val="Variante"/>
      </w:pPr>
      <w:r>
        <w:t xml:space="preserve">Variante : Contestations exprimées</w:t>
      </w:r>
    </w:p>
    <w:p>
      <w:pPr>
        <w:pStyle w:val="Corps"/>
      </w:pPr>
      <w:r>
        <w:t xml:space="preserve">Le débiteur a contesté la demande dans les termes suivants : [Position exprimée par le débiteur]. Cette position est reproduite loyalement et distinguée des simples demandes de délai ou réserves générales. L'existence d'une contestation exprimée n'exclut une provision que si elle présente un caractère sérieux au regard du droit applicable et des pièces contradictoirement discutées.</w:t>
      </w:r>
    </w:p>
    <w:p>
      <w:pPr>
        <w:pStyle w:val="Intertitre"/>
      </w:pPr>
      <w:r>
        <w:t xml:space="preserve">Règlements intervenus — choisir une seule variante</w:t>
      </w:r>
    </w:p>
    <w:p>
      <w:pPr>
        <w:pStyle w:val="Variante"/>
      </w:pPr>
      <w:r>
        <w:t xml:space="preserve">Variante : Absence de règlement</w:t>
      </w:r>
    </w:p>
    <w:p>
      <w:pPr>
        <w:pStyle w:val="Corps"/>
      </w:pPr>
      <w:r>
        <w:t xml:space="preserve">Aucun règlement venant réduire le principal réclamé n'est établi dans les pièces arrêtées pour la présente demande. Cette affirmation est limitée à la période et au périmètre du décompte produit. Tout paiement, avoir ou compensation porté à la connaissance du demandeur avant l'audience devra être imputé et signalé afin d'éviter une demande excédant le solde réellement dû.</w:t>
      </w:r>
    </w:p>
    <w:p>
      <w:pPr>
        <w:pStyle w:val="Variante"/>
      </w:pPr>
      <w:r>
        <w:t xml:space="preserve">Variante : Règlements partiels et imputation</w:t>
      </w:r>
    </w:p>
    <w:p>
      <w:pPr>
        <w:pStyle w:val="Corps"/>
      </w:pPr>
      <w:r>
        <w:t xml:space="preserve">Les règlements partiels suivants ont été reçus : [Paiements partiels]. Après imputation sur les postes correspondants, le solde restant dû s'établit à [Solde restant dû]. Le demandeur expose la méthode d'imputation retenue et rapproche ce résultat des écritures, reçus ou relevés produits, afin que la provision ne porte que sur la dette résiduelle vérifiée.</w:t>
      </w:r>
    </w:p>
    <w:p>
      <w:pPr>
        <w:pStyle w:val="Intertitre"/>
      </w:pPr>
      <w:r>
        <w:t xml:space="preserve">Moyens de contestation identifiés</w:t>
      </w:r>
    </w:p>
    <w:p>
      <w:pPr>
        <w:pStyle w:val="Corps"/>
      </w:pPr>
      <w:r>
        <w:t xml:space="preserve">Les objections connues du défendeur sont les suivantes : [Contestations connues]. Elles sont individualisées selon qu'elles portent sur la formation de l'obligation, son exécution, son exigibilité, son extinction ou son montant. Cette présentation permet au juge d'apprécier séparément chaque difficulté sans transformer la procédure de référé en jugement définitif du fond.</w:t>
      </w:r>
    </w:p>
    <w:p>
      <w:pPr>
        <w:pStyle w:val="Intertitre"/>
      </w:pPr>
      <w:r>
        <w:t xml:space="preserve">Réponse aux contestations</w:t>
      </w:r>
    </w:p>
    <w:p>
      <w:pPr>
        <w:pStyle w:val="Corps"/>
      </w:pPr>
      <w:r>
        <w:t xml:space="preserve">Le demandeur répond à chacune des objections par les éléments suivants : [Réponse aux contestations]. Pour chaque moyen, il identifie le fait allégué, la règle invoquée, la pièce pertinente et la raison pour laquelle la contestation ne remet pas sérieusement en cause tout ou partie de l'obligation. Le reliquat qui demeure réellement discuté est exclu du montant provisionnel.</w:t>
      </w:r>
    </w:p>
    <w:p>
      <w:pPr>
        <w:pStyle w:val="Intertitre"/>
      </w:pPr>
      <w:r>
        <w:t xml:space="preserve">Fraction non sérieusement contestable</w:t>
      </w:r>
    </w:p>
    <w:p>
      <w:pPr>
        <w:pStyle w:val="Corps"/>
      </w:pPr>
      <w:r>
        <w:t xml:space="preserve">Le caractère non sérieusement contestable de l'obligation ressort de [Éléments non sérieusement contestables]. Ces éléments sont précis, concordants et directement rattachés à la somme sollicitée. Ils établissent à la fois le principe de la dette, son exigibilité et la fraction de son montant qui peut être retenue sans trancher une contestation relevant du juge du fond.</w:t>
      </w:r>
    </w:p>
    <w:p>
      <w:pPr>
        <w:pStyle w:val="Intertitre"/>
      </w:pPr>
      <w:r>
        <w:t xml:space="preserve">Pouvoir du juge des référés</w:t>
      </w:r>
    </w:p>
    <w:p>
      <w:pPr>
        <w:pStyle w:val="Corps"/>
      </w:pPr>
      <w:r>
        <w:t xml:space="preserve">L'ordonnance de référé est une décision provisoire rendue dans les conditions propres à cette procédure. Le juge peut accorder une provision lorsque l'existence de l'obligation n'est pas sérieusement contestable. La mesure sollicitée ne suppose donc pas l'absence de tout désaccord, mais exige que les moyens opposés ne créent pas de doute sérieux sur la fraction de dette retenue.</w:t>
      </w:r>
    </w:p>
    <w:p>
      <w:pPr>
        <w:pStyle w:val="Intertitre"/>
      </w:pPr>
      <w:r>
        <w:t xml:space="preserve">Articulation entre faits, moyens et pièces</w:t>
      </w:r>
    </w:p>
    <w:p>
      <w:pPr>
        <w:pStyle w:val="Corps"/>
      </w:pPr>
      <w:r>
        <w:t xml:space="preserve">La correspondance entre les faits déterminants, les moyens soutenus et les pièces communiquées est la suivante : [Table de correspondance faits-pièces]. Chaque document est invoqué pour la proposition qu'il établit et les numéros employés concordent avec le bordereau. Cette articulation permet au défendeur de discuter utilement la demande et au juge d'isoler la fraction non sérieusement contestable.</w:t>
      </w:r>
    </w:p>
    <w:p>
      <w:pPr>
        <w:pStyle w:val="Intertitre"/>
      </w:pPr>
      <w:r>
        <w:t xml:space="preserve">Calcul de la provision</w:t>
      </w:r>
    </w:p>
    <w:p>
      <w:pPr>
        <w:pStyle w:val="Corps"/>
      </w:pPr>
      <w:r>
        <w:t xml:space="preserve">La provision sollicitée s'élève à [Montant de la provision]. Elle est déterminée selon la méthode suivante : [Calcul de la provision]. Le montant demandé ne comprend que les postes établis, exigibles et non sérieusement contestables ; il retranche les règlements et avoirs vérifiés et laisse hors de la demande provisionnelle toute fraction dont l'examen nécessiterait de trancher le fond.</w:t>
      </w:r>
    </w:p>
    <w:p>
      <w:pPr>
        <w:pStyle w:val="Intertitre"/>
      </w:pPr>
      <w:r>
        <w:t xml:space="preserve">Intérêts demandés — choisir une seule variante</w:t>
      </w:r>
    </w:p>
    <w:p>
      <w:pPr>
        <w:pStyle w:val="Variante"/>
      </w:pPr>
      <w:r>
        <w:t xml:space="preserve">Variante : Intérêts au taux légal</w:t>
      </w:r>
    </w:p>
    <w:p>
      <w:pPr>
        <w:pStyle w:val="Corps"/>
      </w:pPr>
      <w:r>
        <w:t xml:space="preserve">Le demandeur sollicite les intérêts moratoires au taux légal à compter du [Point de départ de l'intérêt légal]. Ce point de départ est rattaché à la mise en demeure ou à l'acte juridiquement pertinent produit. Les intérêts sont calculés sur le principal retenu, séparément des frais et dépens, et leur liquidation devra tenir compte des règlements intervenus pendant la période considérée.</w:t>
      </w:r>
    </w:p>
    <w:p>
      <w:pPr>
        <w:pStyle w:val="Variante"/>
      </w:pPr>
      <w:r>
        <w:t xml:space="preserve">Variante : Intérêts contractuels</w:t>
      </w:r>
    </w:p>
    <w:p>
      <w:pPr>
        <w:pStyle w:val="Corps"/>
      </w:pPr>
      <w:r>
        <w:t xml:space="preserve">Le demandeur invoque la clause suivante : [Clause d'intérêts contractuels]. Le taux réclamé est [Taux d'intérêt contractuel] à compter du [Point de départ de l'intérêt contractuel]. La demande est limitée à la portée opposable de la clause, à son assiette et à la période vérifiées. Toute difficulté sérieuse affectant le taux ou le point de départ conduit à exclure la fraction litigieuse de la provision.</w:t>
      </w:r>
    </w:p>
    <w:p>
      <w:pPr>
        <w:pStyle w:val="Variante"/>
      </w:pPr>
      <w:r>
        <w:t xml:space="preserve">Variante : Absence de demande d'intérêts</w:t>
      </w:r>
    </w:p>
    <w:p>
      <w:pPr>
        <w:pStyle w:val="Corps"/>
      </w:pPr>
      <w:r>
        <w:t xml:space="preserve">Aucun intérêt distinct du principal n'est sollicité dans la présente instance de référé. La provision est donc limitée au principal calculé et aux seuls accessoires expressément demandés dans le dispositif. Cette option évite que l'ordonnance statue sur un taux, une assiette ou un point de départ qui n'aurait pas été précisément exposé et justifié par les pièces.</w:t>
      </w:r>
    </w:p>
    <w:p>
      <w:pPr>
        <w:pStyle w:val="Intertitre"/>
      </w:pPr>
      <w:r>
        <w:t xml:space="preserve">Application au litige</w:t>
      </w:r>
    </w:p>
    <w:p>
      <w:pPr>
        <w:pStyle w:val="Corps"/>
      </w:pPr>
      <w:r>
        <w:t xml:space="preserve">En l'espèce, le rapprochement de l'obligation, de son exécution, de son échéance, du décompte et des contestations connues permet d'isoler une fraction immédiatement exigible. Les réponses apportées aux objections ne requièrent pas, pour cette fraction, de trancher définitivement le fond. La demande est ainsi circonscrite au montant que le juge des référés peut retenir à titre provisionnel.</w:t>
      </w:r>
    </w:p>
    <w:p>
      <w:pPr>
        <w:pStyle w:val="Intertitre"/>
      </w:pPr>
      <w:r>
        <w:t xml:space="preserve">Condamnation provisionnelle</w:t>
      </w:r>
    </w:p>
    <w:p>
      <w:pPr>
        <w:pStyle w:val="Corps"/>
      </w:pPr>
      <w:r>
        <w:t xml:space="preserve">Il est demandé au juge de condamner [Nom ou dénomination du défendeur] à payer à [Nom ou dénomination du demandeur] la somme de [Montant de la provision] à titre de provision. Cette condamnation porte exclusivement sur la fraction de l'obligation exposée comme non sérieusement contestable et doit être prononcée sans préjudice des droits des parties sur les éléments qui demeureraient réservés au fond.</w:t>
      </w:r>
    </w:p>
    <w:p>
      <w:pPr>
        <w:pStyle w:val="Intertitre"/>
      </w:pPr>
      <w:r>
        <w:t xml:space="preserve">Clause optionnelle : Astreinte</w:t>
      </w:r>
    </w:p>
    <w:p>
      <w:pPr>
        <w:pStyle w:val="Corps"/>
      </w:pPr>
      <w:r>
        <w:t xml:space="preserve">Il est demandé d'assortir l'obligation retenue d'une astreinte de [Montant de l'astreinte] par [Périodicité de l'astreinte], prenant effet à compter de [Point de départ de l'astreinte]. Le point de départ doit être objectivement déterminable et laisser, lorsqu'il y a lieu, le délai d'exécution sollicité. La mesure demeure soumise à l'appréciation du juge et distincte du montant de la provision.</w:t>
      </w:r>
    </w:p>
    <w:p>
      <w:pPr>
        <w:pStyle w:val="Intertitre"/>
      </w:pPr>
      <w:r>
        <w:t xml:space="preserve">Clause optionnelle : Frais non compris dans les dépens</w:t>
      </w:r>
    </w:p>
    <w:p>
      <w:pPr>
        <w:pStyle w:val="Corps"/>
      </w:pPr>
      <w:r>
        <w:t xml:space="preserve">Il est demandé d'allouer à [Nom ou dénomination du demandeur] la somme de [Indemnité demandée au titre des frais] au titre des frais exposés et non compris dans les dépens. Cette prétention est justifiée par [Justification des frais irrépétibles]. Elle est présentée séparément du principal, des intérêts, des frais de signification et des dépens afin que chaque chef puisse être apprécié distinctement.</w:t>
      </w:r>
    </w:p>
    <w:p>
      <w:pPr>
        <w:pStyle w:val="Intertitre"/>
      </w:pPr>
      <w:r>
        <w:t xml:space="preserve">Dépens</w:t>
      </w:r>
    </w:p>
    <w:p>
      <w:pPr>
        <w:pStyle w:val="Corps"/>
      </w:pPr>
      <w:r>
        <w:t xml:space="preserve">Il est demandé de mettre les dépens de l'instance à la charge de [Nom ou dénomination du défendeur], dans la mesure retenue par le juge. Ce chef comprend uniquement les frais entrant légalement dans les dépens et demeure distinct de l'indemnité éventuellement sollicitée au titre des frais non compris dans les dépens. Leur liquidation suivra les règles applicables.</w:t>
      </w:r>
    </w:p>
    <w:p>
      <w:pPr>
        <w:pStyle w:val="Intertitre"/>
      </w:pPr>
      <w:r>
        <w:t xml:space="preserve">Exécution provisoire</w:t>
      </w:r>
    </w:p>
    <w:p>
      <w:pPr>
        <w:pStyle w:val="Corps"/>
      </w:pPr>
      <w:r>
        <w:t xml:space="preserve">Il est rappelé que la décision de première instance bénéficie de l'exécution provisoire de droit dans les conditions applicables et que celle-ci ne peut être écartée lorsqu'il est statué en référé. Le demandeur ne sollicite aucune extension artificielle de ce régime et réserve les modalités d'exécution à la teneur exacte de l'ordonnance qui sera rendue.</w:t>
      </w:r>
    </w:p>
    <w:p>
      <w:pPr>
        <w:pStyle w:val="Intertitre"/>
      </w:pPr>
      <w:r>
        <w:t xml:space="preserve">Par ces motifs</w:t>
      </w:r>
    </w:p>
    <w:p>
      <w:pPr>
        <w:pStyle w:val="Corps"/>
      </w:pPr>
      <w:r>
        <w:t xml:space="preserve">Par ces motifs, il est demandé au juge des référés de déclarer la demande recevable dans les limites exposées, de condamner [Nom ou dénomination du défendeur] à payer à [Nom ou dénomination du demandeur] la provision de [Montant de la provision], de statuer sur les intérêts et accessoires expressément développés dans l'acte, puis de mettre les dépens à la charge déterminée par l'ordonnance.</w:t>
      </w:r>
    </w:p>
    <w:p>
      <w:pPr>
        <w:pStyle w:val="Intertitre"/>
      </w:pPr>
      <w:r>
        <w:t xml:space="preserve">Bordereau de pièces communiquées</w:t>
      </w:r>
    </w:p>
    <w:p>
      <w:pPr>
        <w:pStyle w:val="Corps"/>
      </w:pPr>
      <w:r>
        <w:t xml:space="preserve">Les pièces fondant la demande sont énumérées comme suit : [Bordereau de pièces]. Leur numérotation, leur intitulé et leur ordre concordent avec les renvois du corps de l'assignation et la table de correspondance faits-pièces. Toute pièce absente, illisible ou remplacée doit être régularisée dans le bordereau et dans les passages qui s'y réfèrent avant communication.</w:t>
      </w:r>
    </w:p>
    <w:p>
      <w:pPr>
        <w:pStyle w:val="Intertitre"/>
      </w:pPr>
      <w:r>
        <w:t xml:space="preserve">Clôture de l'acte</w:t>
      </w:r>
    </w:p>
    <w:p>
      <w:pPr>
        <w:pStyle w:val="Corps"/>
      </w:pPr>
      <w:r>
        <w:t xml:space="preserve">Sous toutes réserves, l'assignation est arrêtée avec son bordereau de pièces pour être délivrée et placée selon son stade matériel. Cette clôture ne constitue pas une signature contractuelle entre les parties. La force et l'authenticité de l'acte signifié résultent des mentions et de la signature du commissaire de justice apposées selon les règles qui lui sont applicables.</w:t>
      </w:r>
    </w:p>
    <w:p>
      <w:pPr>
        <w:pStyle w:val="Intertitre"/>
      </w:pPr>
      <w:r>
        <w:t xml:space="preserve">Clause optionnelle : Mentions du commissaire de justice</w:t>
      </w:r>
    </w:p>
    <w:p>
      <w:pPr>
        <w:pStyle w:val="Corps"/>
      </w:pPr>
      <w:r>
        <w:t xml:space="preserve">L'acte signifié identifie [Nom du commissaire de justice], au sein de [Office du commissaire de justice], et comporte les mentions de clôture suivantes : [Mentions de clôture de la signification]. Ces données sont reproduites exclusivement depuis la copie effectivement délivrée. Elles constatent l'intervention du commissaire de justice et ne doivent jamais être préremplies dans un projet ou une version seulement prête à signifier.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