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BORDEREAU DE COMMUNICATION DE PIÈCES</w:t>
      </w:r>
    </w:p>
    <w:p>
      <w:pPr>
        <w:pStyle w:val="Intertitre"/>
      </w:pPr>
      <w:r>
        <w:t xml:space="preserve">Juridiction et affaire</w:t>
      </w:r>
    </w:p>
    <w:p>
      <w:pPr>
        <w:pStyle w:val="Corps"/>
      </w:pPr>
      <w:r>
        <w:t xml:space="preserve">Le présent bordereau concerne l'affaire référencée [Référence du dossier] devant [Nom de la juridiction]. Il identifie exclusivement les pièces communiquées et leur transmission contradictoire; il ne contient ni moyen, ni prétention, ni demande au fond. La référence et la juridiction sont reprises depuis le dossier de procédure contrôlé.</w:t>
      </w:r>
    </w:p>
    <w:p>
      <w:pPr>
        <w:pStyle w:val="Intertitre"/>
      </w:pPr>
      <w:r>
        <w:t xml:space="preserve">Parties à la communication</w:t>
      </w:r>
    </w:p>
    <w:p>
      <w:pPr>
        <w:pStyle w:val="Corps"/>
      </w:pPr>
      <w:r>
        <w:t xml:space="preserve">Les parties à l'instance sont [Noms ou dénominations des parties]. La communication émane de [Partie communicatrice], assistée ou représentée par [Avocat communicateur], et est adressée à [Parties destinataires]. Chaque destinataire, conseil et qualité procédurale est identifié depuis les actes du dossier afin de prévenir tout envoi incomplet ou adressé à un tiers.</w:t>
      </w:r>
    </w:p>
    <w:p>
      <w:pPr>
        <w:pStyle w:val="Intertitre"/>
      </w:pPr>
      <w:r>
        <w:t xml:space="preserve">Nature de la communication — choisir une seule variante</w:t>
      </w:r>
    </w:p>
    <w:p>
      <w:pPr>
        <w:pStyle w:val="Variante"/>
      </w:pPr>
      <w:r>
        <w:t xml:space="preserve">Variante : Communication initiale</w:t>
      </w:r>
    </w:p>
    <w:p>
      <w:pPr>
        <w:pStyle w:val="Corps"/>
      </w:pPr>
      <w:r>
        <w:t xml:space="preserve">La présente communication ouvre le bordereau et la numérotation selon [Plage de numérotation initiale]. Le classement retenu est [Classement des éléments de preuve]. Chaque numéro est unique, stable et associé à une seule pièce ou à un ensemble indivisible expressément décrit; aucune numérotation antérieure n'est présentée comme couverte par ce bordereau.</w:t>
      </w:r>
    </w:p>
    <w:p>
      <w:pPr>
        <w:pStyle w:val="Variante"/>
      </w:pPr>
      <w:r>
        <w:t xml:space="preserve">Variante : Communication complémentaire</w:t>
      </w:r>
    </w:p>
    <w:p>
      <w:pPr>
        <w:pStyle w:val="Corps"/>
      </w:pPr>
      <w:r>
        <w:t xml:space="preserve">La présente communication complète le bordereau référencé [Référence - calendrier antérieur] et poursuit la numérotation selon [Gamme de numérotation supplémentaire]. Les pièces déjà communiquées ne sont pas renumérotées; tout remplacement, retrait ou nouvelle version est explicitement relié au numéro antérieur afin de préserver la chronologie et l'identification du document opposable.</w:t>
      </w:r>
    </w:p>
    <w:p>
      <w:pPr>
        <w:pStyle w:val="Intertitre"/>
      </w:pPr>
      <w:r>
        <w:t xml:space="preserve">État des pièces — choisir une seule variante</w:t>
      </w:r>
    </w:p>
    <w:p>
      <w:pPr>
        <w:pStyle w:val="Variante"/>
      </w:pPr>
      <w:r>
        <w:t xml:space="preserve">Variante : Inventaire des pièces</w:t>
      </w:r>
    </w:p>
    <w:p>
      <w:pPr>
        <w:pStyle w:val="Corps"/>
      </w:pPr>
      <w:r>
        <w:t xml:space="preserve">Les pièces effectivement disponibles et contrôlées sont inventoriées dans [Inventaire des éléments de preuve]. Chaque ligne comporte un numéro, un intitulé fidèle, une date lorsqu'elle est connue, un auteur ou émetteur utile et, si nécessaire, le nombre de pages ou fichiers. Une pièce absente, illisible ou non vérifiée n'est jamais présentée comme communiquée.</w:t>
      </w:r>
    </w:p>
    <w:p>
      <w:pPr>
        <w:pStyle w:val="Variante"/>
      </w:pPr>
      <w:r>
        <w:t xml:space="preserve">Variante : PIÈCES INDISPONIBLES OU NON CONTRÔLÉES</w:t>
      </w:r>
    </w:p>
    <w:p>
      <w:pPr>
        <w:pStyle w:val="Corps"/>
      </w:pPr>
      <w:r>
        <w:t xml:space="preserve">Les pièces, leur inventaire ou leur lisibilité ne sont pas suffisamment établis. Les anomalies connues sont [Registre des anomalies des preuves]. Le bordereau ne peut être finalisé tant que chaque document annoncé n'est pas disponible, identifiable, lisible et rapproché de son numéro.</w:t>
      </w:r>
    </w:p>
    <w:p>
      <w:pPr>
        <w:pStyle w:val="Intertitre"/>
      </w:pPr>
      <w:r>
        <w:t xml:space="preserve">Objet probatoire</w:t>
      </w:r>
    </w:p>
    <w:p>
      <w:pPr>
        <w:pStyle w:val="Corps"/>
      </w:pPr>
      <w:r>
        <w:t xml:space="preserve">La correspondance entre les pièces et les faits, moyens ou prétentions auxquels elles se rapportent est décrite par [Cartographie des données probantes]. Cette indication facilite le contrôle contradictoire sans transformer le bordereau en conclusions ni préjuger de la recevabilité, de l'authenticité ou de la force probante que la juridiction attribuera aux pièces.</w:t>
      </w:r>
    </w:p>
    <w:p>
      <w:pPr>
        <w:pStyle w:val="Intertitre"/>
      </w:pPr>
      <w:r>
        <w:t xml:space="preserve">Contrôle d'intégrité</w:t>
      </w:r>
    </w:p>
    <w:p>
      <w:pPr>
        <w:pStyle w:val="Corps"/>
      </w:pPr>
      <w:r>
        <w:t xml:space="preserve">Les contrôles d'intégrité effectués sont [Contrôles d'intégrité]. Les anomalies, écarts de version, fichiers illisibles, pages manquantes, doublons et divergences d'intitulé sont consignés dans [Registre des anomalies des preuves]. Le bordereau est rapproché du support transmis afin que le nombre, l'ordre et le contenu des pièces correspondent effectivement à l'inventaire.</w:t>
      </w:r>
    </w:p>
    <w:p>
      <w:pPr>
        <w:pStyle w:val="Intertitre"/>
      </w:pPr>
      <w:r>
        <w:t xml:space="preserve">Clause optionnelle : Pièces confidentielles</w:t>
      </w:r>
    </w:p>
    <w:p>
      <w:pPr>
        <w:pStyle w:val="Corps"/>
      </w:pPr>
      <w:r>
        <w:t xml:space="preserve">Les pièces soumises à restriction sont [Liste confidentielle des éléments de preuve]. Leur communication suit [Protocole de confidentialité] et les restrictions d'accès [Restrictions d'accès]. Le bordereau distingue l'existence de la pièce, son intitulé communicable, son canal de transmission et les personnes autorisées, sans reproduire inutilement une donnée couverte par le secret ou une mesure de protection.</w:t>
      </w:r>
    </w:p>
    <w:p>
      <w:pPr>
        <w:pStyle w:val="Intertitre"/>
      </w:pPr>
      <w:r>
        <w:t xml:space="preserve">Clause optionnelle : Dossier électronique</w:t>
      </w:r>
    </w:p>
    <w:p>
      <w:pPr>
        <w:pStyle w:val="Corps"/>
      </w:pPr>
      <w:r>
        <w:t xml:space="preserve">Le dossier électronique porte la référence [Référence du dossier électronique] et respecte la structure [Structure du bloc]. Le relevé d'empreintes [Registre des empreintes numériques des fichiers] permet d'identifier les fichiers transmis. L'arborescence, les noms de fichiers, le format, la lisibilité et l'ordre correspondent au bordereau; le lien d'accès, sa durée et ses destinataires sont conservés avec la preuve d'envoi.</w:t>
      </w:r>
    </w:p>
    <w:p>
      <w:pPr>
        <w:pStyle w:val="Intertitre"/>
      </w:pPr>
      <w:r>
        <w:t xml:space="preserve">Modalités de communication</w:t>
      </w:r>
    </w:p>
    <w:p>
      <w:pPr>
        <w:pStyle w:val="Corps"/>
      </w:pPr>
      <w:r>
        <w:t xml:space="preserve">La communication intervient le [Date de la communication] par [Mode de communication]. Sa réception est établie par [Preuves reçues], conservée avec une copie exacte du bordereau et du support transmis. La date, l'heure, le canal, les destinataires, les éventuels accusés et incidents permettent de reconstituer l'opération sans assimiler un simple projet d'envoi à une communication réalisée.</w:t>
      </w:r>
    </w:p>
    <w:p>
      <w:pPr>
        <w:pStyle w:val="Intertitre"/>
      </w:pPr>
      <w:r>
        <w:t xml:space="preserve">Respect du contradictoire</w:t>
      </w:r>
    </w:p>
    <w:p>
      <w:pPr>
        <w:pStyle w:val="Corps"/>
      </w:pPr>
      <w:r>
        <w:t xml:space="preserve">La communication est organisée selon [Procédure d'adversariat] et le calendrier [Calendrier des procédures]. Elle doit permettre à chaque destinataire de prendre utilement connaissance des pièces, de les consulter dans un format accessible et de préparer sa réponse. Le respect du contradictoire est apprécié au regard de la date réelle, du volume, des restrictions et des échéances du dossier.</w:t>
      </w:r>
    </w:p>
    <w:p>
      <w:pPr>
        <w:pStyle w:val="Intertitre"/>
      </w:pPr>
      <w:r>
        <w:t xml:space="preserve">Réserves et corrections</w:t>
      </w:r>
    </w:p>
    <w:p>
      <w:pPr>
        <w:pStyle w:val="Corps"/>
      </w:pPr>
      <w:r>
        <w:t xml:space="preserve">Les réserves accompagnant la communication sont [Réserves en matière de communication]. Les demandes de rectification, de réenvoi, d'accès ou de remplacement sont suivies dans [Demandes de correction]. Toute correction ultérieure conserve la trace de la version initialement transmise, du motif, de la date, des destinataires et des numéros concernés afin d'éviter une substitution silencieuse.</w:t>
      </w:r>
    </w:p>
    <w:p>
      <w:pPr>
        <w:pStyle w:val="Intertitre"/>
      </w:pPr>
      <w:r>
        <w:t xml:space="preserve">Récapitulatif</w:t>
      </w:r>
    </w:p>
    <w:p>
      <w:pPr>
        <w:pStyle w:val="Corps"/>
      </w:pPr>
      <w:r>
        <w:t xml:space="preserve">Le bordereau recense [Nombre total d'éléments de preuve] pièces. Ce total est rapproché de la dernière numérotation, du nombre d'entrées de l'inventaire et du support effectivement transmis. Les annexes internes d'une même pièce, les doublons techniques et les versions successives sont comptés selon la méthode explicitement retenue, sans gonfler artificiellement le total.</w:t>
      </w:r>
    </w:p>
    <w:p>
      <w:pPr>
        <w:pStyle w:val="Intertitre"/>
      </w:pPr>
      <w:r>
        <w:t xml:space="preserve">Support communiqué</w:t>
      </w:r>
    </w:p>
    <w:p>
      <w:pPr>
        <w:pStyle w:val="Corps"/>
      </w:pPr>
      <w:r>
        <w:t xml:space="preserve">Le bordereau est transmis avec les pièces elles-mêmes ou avec un accès sécurisé permettant leur consultation effective. Le support, le lien, le mot de passe communiqué par canal distinct, la durée d'accès et les éventuelles limites sont identifiés. Aucun document absent, non lisible, non téléversé ou seulement annoncé ne doit être présenté comme effectivement communiqué. La copie conservée permet de reproduire exactement l'envoi. Toute indisponibilité, expiration de lien, erreur d'accès ou différence entre le support et le bordereau est traitée comme un incident à corriger et non comme une réception acquise.</w:t>
      </w:r>
    </w:p>
    <w:p>
      <w:pPr>
        <w:pStyle w:val="Intertitre"/>
      </w:pPr>
      <w:r>
        <w:t xml:space="preserve">Signature</w:t>
      </w:r>
    </w:p>
    <w:p>
      <w:pPr>
        <w:pStyle w:val="Corps"/>
      </w:pPr>
      <w:r>
        <w:t xml:space="preserve">Fait à [Lieu de signature], le [Date de signature]. Le bordereau est signé par [Avocat signataire] après contrôle de l'inventaire, de la continuité de la numérotation, des destinataires et de la preuve de communication. La signature porte sur cette version du bordereau et ne certifie ni l'authenticité intrinsèque ni la force probante des pièces.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