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CONCLUSIONS AU FOND POUR LA DÉFENDERESSE</w:t>
      </w:r>
    </w:p>
    <w:p>
      <w:pPr>
        <w:pStyle w:val="Intertitre"/>
      </w:pPr>
      <w:r>
        <w:t xml:space="preserve"> — choisir une seule variante</w:t>
      </w:r>
    </w:p>
    <w:p>
      <w:pPr>
        <w:pStyle w:val="Variante"/>
      </w:pPr>
      <w:r>
        <w:t xml:space="preserve">Variante : PROJET DE CONCLUSIONS AU FOND — DÉFENDERESSE</w:t>
      </w:r>
    </w:p>
    <w:p>
      <w:pPr>
        <w:pStyle w:val="Corps"/>
      </w:pPr>
      <w:r>
        <w:t xml:space="preserve">Projet de conclusions référencé [Référence du dossier]. Il rassemble les moyens en défense, les demandes propres et les pièces encore soumis au contrôle du conseil. Ce stade n'atteste ni communication contradictoire, ni notification, ni dépôt auprès de la juridiction, et ne doit pas être présenté comme une version signée.</w:t>
      </w:r>
    </w:p>
    <w:p>
      <w:pPr>
        <w:pStyle w:val="Variante"/>
      </w:pPr>
      <w:r>
        <w:t xml:space="preserve">Variante : CONCLUSIONS AU FOND — DÉFENDERESSE — PRÊTES À NOTIFIER</w:t>
      </w:r>
    </w:p>
    <w:p>
      <w:pPr>
        <w:pStyle w:val="Corps"/>
      </w:pPr>
      <w:r>
        <w:t xml:space="preserve">Version arrêtée après contrôle des prétentions adverses, défenses, demandes propres, pièces et dispositif ; notification et dépôt restent à accomplir. La cohérence entre les réponses aux prétentions adverses, les moyens procéduraux, les demandes propres et chaque chef du dispositif a été contrôlée.</w:t>
      </w:r>
    </w:p>
    <w:p>
      <w:pPr>
        <w:pStyle w:val="Variante"/>
      </w:pPr>
      <w:r>
        <w:t xml:space="preserve">Variante : CONCLUSIONS AU FOND — DÉFENDERESSE — NOTIFIÉES</w:t>
      </w:r>
    </w:p>
    <w:p>
      <w:pPr>
        <w:pStyle w:val="Corps"/>
      </w:pPr>
      <w:r>
        <w:t xml:space="preserve">Version notifiée contradictoirement selon [Preuve de notification]. Cette mention ne vaut pas preuve de dépôt. La date, le canal, les destinataires et la version transmise doivent correspondre exactement à la preuve conservée au dossier.</w:t>
      </w:r>
    </w:p>
    <w:p>
      <w:pPr>
        <w:pStyle w:val="Variante"/>
      </w:pPr>
      <w:r>
        <w:t xml:space="preserve">Variante : CONCLUSIONS AU FOND — DÉFENDERESSE — NOTIFIÉES ET DÉPOSÉES</w:t>
      </w:r>
    </w:p>
    <w:p>
      <w:pPr>
        <w:pStyle w:val="Corps"/>
      </w:pPr>
      <w:r>
        <w:t xml:space="preserve">La version notifiée selon [Preuve de notification] a été déposée sous [Preuve de dépôt]. Le document remis à la juridiction correspond exactement aux écritures communiquées aux parties. Toute régularisation ultérieure doit être identifiée par sa date, son objet, sa version et sa propre preuve de transmission contradictoire.</w:t>
      </w:r>
    </w:p>
    <w:p>
      <w:pPr>
        <w:pStyle w:val="Intertitre"/>
      </w:pPr>
      <w:r>
        <w:t xml:space="preserve">JURIDICTION, CHAMBRE ET DOSSIER</w:t>
      </w:r>
    </w:p>
    <w:p>
      <w:pPr>
        <w:pStyle w:val="Corps"/>
      </w:pPr>
      <w:r>
        <w:t xml:space="preserve">L'affaire est pendante devant [Juridiction saisie], formation [Chambre ou formation], sous le numéro [Numéro RG]. L'audience ou le calendrier applicable résulte de [Audience ou calendrier], tandis que la compétence matérielle et territoriale invoquée est établie par [Compétence d'attribution] et les pièces de saisine correspondantes.</w:t>
      </w:r>
    </w:p>
    <w:p>
      <w:pPr>
        <w:pStyle w:val="Intertitre"/>
      </w:pPr>
      <w:r>
        <w:t xml:space="preserve"> — choisir une seule variante</w:t>
      </w:r>
    </w:p>
    <w:p>
      <w:pPr>
        <w:pStyle w:val="Variante"/>
      </w:pPr>
      <w:r>
        <w:t xml:space="preserve">Variante : TRIBUNAL JUDICIAIRE</w:t>
      </w:r>
    </w:p>
    <w:p>
      <w:pPr>
        <w:pStyle w:val="Corps"/>
      </w:pPr>
      <w:r>
        <w:t xml:space="preserve">Les présentes conclusions sont soumises au tribunal judiciaire. La matière, le montant et le rattachement territorial exposés dans [Compétence d'attribution] déterminent sa compétence ; aucun régime propre au tribunal de commerce n'est appliqué à cette branche et toute exception éventuelle demeure traitée séparément.</w:t>
      </w:r>
    </w:p>
    <w:p>
      <w:pPr>
        <w:pStyle w:val="Variante"/>
      </w:pPr>
      <w:r>
        <w:t xml:space="preserve">Variante : TRIBUNAL DE COMMERCE</w:t>
      </w:r>
    </w:p>
    <w:p>
      <w:pPr>
        <w:pStyle w:val="Corps"/>
      </w:pPr>
      <w:r>
        <w:t xml:space="preserve">Les présentes conclusions sont soumises au tribunal de commerce. La qualité des parties, la nature de l'opération et le rattachement territorial exposés dans [Compétence d'attribution] justifient cette saisine ; aucun régime réservé au tribunal judiciaire n'est transposé sans texte applicable.</w:t>
      </w:r>
    </w:p>
    <w:p>
      <w:pPr>
        <w:pStyle w:val="Intertitre"/>
      </w:pPr>
      <w:r>
        <w:t xml:space="preserve"> — choisir une seule variante</w:t>
      </w:r>
    </w:p>
    <w:p>
      <w:pPr>
        <w:pStyle w:val="Variante"/>
      </w:pPr>
      <w:r>
        <w:t xml:space="preserve">Variante : PROCÉDURE ÉCRITE — ARTICLE 768</w:t>
      </w:r>
    </w:p>
    <w:p>
      <w:pPr>
        <w:pStyle w:val="Corps"/>
      </w:pPr>
      <w:r>
        <w:t xml:space="preserve">Les conclusions distinguent faits et procédure, discussion et dispositif ; chaque défense et demande reconventionnelle renvoie à ses moyens et pièces selon [Régime procédural]. Les prétentions ne sont maintenues que dans le dispositif et doivent être soutenues par les moyens développés dans la discussion selon le régime applicable.</w:t>
      </w:r>
    </w:p>
    <w:p>
      <w:pPr>
        <w:pStyle w:val="Variante"/>
      </w:pPr>
      <w:r>
        <w:t xml:space="preserve">Variante : PROCÉDURE ORALE — TOUTES PARTIES AVEC AVOCAT</w:t>
      </w:r>
    </w:p>
    <w:p>
      <w:pPr>
        <w:pStyle w:val="Corps"/>
      </w:pPr>
      <w:r>
        <w:t xml:space="preserve">Les écritures suivent [Régime procédural] et le régime récapitulatif de l'article 446-2-1. La dernière version doit reprendre les défenses et demandes maintenues, distinguer formellement les moyens nouveaux et répondre aux prétentions adverses encore soutenues.</w:t>
      </w:r>
    </w:p>
    <w:p>
      <w:pPr>
        <w:pStyle w:val="Variante"/>
      </w:pPr>
      <w:r>
        <w:t xml:space="preserve">Variante : PROCÉDURE ORALE — REPRÉSENTATION MIXTE</w:t>
      </w:r>
    </w:p>
    <w:p>
      <w:pPr>
        <w:pStyle w:val="Corps"/>
      </w:pPr>
      <w:r>
        <w:t xml:space="preserve">Au moins une partie n'est pas assistée ou représentée par avocat ; les écritures suivent [Régime procédural] sans présumer l'abandon des précédentes hors article 446-2-2. Toute conséquence attachée aux écritures antérieures dépend de la décision du juge et des conditions légales effectivement réunies dans l'instance.</w:t>
      </w:r>
    </w:p>
    <w:p>
      <w:pPr>
        <w:pStyle w:val="Intertitre"/>
      </w:pPr>
      <w:r>
        <w:t xml:space="preserve"> — choisir une seule variante</w:t>
      </w:r>
    </w:p>
    <w:p>
      <w:pPr>
        <w:pStyle w:val="Variante"/>
      </w:pPr>
      <w:r>
        <w:t xml:space="preserve">Variante : CONCLUSIONS INITIALES EN DÉFENSE</w:t>
      </w:r>
    </w:p>
    <w:p>
      <w:pPr>
        <w:pStyle w:val="Corps"/>
      </w:pPr>
      <w:r>
        <w:t xml:space="preserve">Ces écritures présentent pour la première fois les défenses au fond, les moyens procéduraux et les demandes propres de la défenderesse. Elles répondent séparément à chaque prétention initiale, sans présumer l'abandon ou la reprise d'écritures antérieures inexistantes.</w:t>
      </w:r>
    </w:p>
    <w:p>
      <w:pPr>
        <w:pStyle w:val="Variante"/>
      </w:pPr>
      <w:r>
        <w:t xml:space="preserve">Variante : CONCLUSIONS EN RÉPONSE</w:t>
      </w:r>
    </w:p>
    <w:p>
      <w:pPr>
        <w:pStyle w:val="Corps"/>
      </w:pPr>
      <w:r>
        <w:t xml:space="preserve">Ces conclusions répondent aux dernières écritures de la demanderesse identifiées dans [Matrice des écritures antérieures]. Elles isolent chaque élément nouveau, maintiennent expressément les défenses et demandes antérieures encore soutenues, puis actualisent les pièces et le dispositif sans modifier silencieusement leur portée.</w:t>
      </w:r>
    </w:p>
    <w:p>
      <w:pPr>
        <w:pStyle w:val="Variante"/>
      </w:pPr>
      <w:r>
        <w:t xml:space="preserve">Variante : CONCLUSIONS RÉCAPITULATIVES</w:t>
      </w:r>
    </w:p>
    <w:p>
      <w:pPr>
        <w:pStyle w:val="Corps"/>
      </w:pPr>
      <w:r>
        <w:t xml:space="preserve">Ces conclusions récapitulatives reprennent exhaustivement les prétentions, défenses, demandes reconventionnelles et moyens maintenus selon [Matrice des écritures antérieures]. Tout chef abandonné est retiré explicitement ; chaque moyen nouveau est signalé distinctement et le dispositif reflète seul les demandes définitivement soumises au tribunal.</w:t>
      </w:r>
    </w:p>
    <w:p>
      <w:pPr>
        <w:pStyle w:val="Intertitre"/>
      </w:pPr>
      <w:r>
        <w:t xml:space="preserve"> — choisir une seule variante</w:t>
      </w:r>
    </w:p>
    <w:p>
      <w:pPr>
        <w:pStyle w:val="Variante"/>
      </w:pPr>
      <w:r>
        <w:t xml:space="preserve">Variante : POUR — DÉFENDERESSE PERSONNE PHYSIQUE</w:t>
      </w:r>
    </w:p>
    <w:p>
      <w:pPr>
        <w:pStyle w:val="Corps"/>
      </w:pPr>
      <w:r>
        <w:t xml:space="preserve">[Nom du défendeur] [Prénoms du défendeur], demeurant [Adresse du défendeur], est prise en qualité de défenderesse. Son identité, son domicile procédural, sa capacité et, le cas échéant, la qualité particulière dans laquelle elle agit sont vérifiés par les pièces citées plus loin.</w:t>
      </w:r>
    </w:p>
    <w:p>
      <w:pPr>
        <w:pStyle w:val="Variante"/>
      </w:pPr>
      <w:r>
        <w:t xml:space="preserve">Variante : POUR — DÉFENDERESSE PERSONNE MORALE</w:t>
      </w:r>
    </w:p>
    <w:p>
      <w:pPr>
        <w:pStyle w:val="Corps"/>
      </w:pPr>
      <w:r>
        <w:t xml:space="preserve">[Dénomination du défendeur], [Forme juridique du défendeur], immatriculée sous [Immatriculation du défendeur] et ayant son siège [Siège du défendeur], est prise en qualité de défenderesse. Elle est représentée par [Représentant du défendeur], dont la fonction et les pouvoirs sont justifiés par les pièces sociales à jour.</w:t>
      </w:r>
    </w:p>
    <w:p>
      <w:pPr>
        <w:pStyle w:val="Intertitre"/>
      </w:pPr>
      <w:r>
        <w:t xml:space="preserve">Clause optionnelle : PLURALITÉ DE DÉFENDERESSES</w:t>
      </w:r>
    </w:p>
    <w:p>
      <w:pPr>
        <w:pStyle w:val="Corps"/>
      </w:pPr>
      <w:r>
        <w:t xml:space="preserve">Les défenderesses sont individualisées dans [Tableau des défendeurs]. Pour chacune sont précisés l'identité, la qualité, le représentant, le conseil, les moyens propres, les prétentions auxquelles elle répond, ses demandes éventuelles et les pièces qu'elle invoque, afin d'éviter toute condamnation ou défense collective ambiguë.</w:t>
      </w:r>
    </w:p>
    <w:p>
      <w:pPr>
        <w:pStyle w:val="Intertitre"/>
      </w:pPr>
      <w:r>
        <w:t xml:space="preserve">QUALITÉ, CAPACITÉ ET POUVOIRS DE LA DÉFENDERESSE</w:t>
      </w:r>
    </w:p>
    <w:p>
      <w:pPr>
        <w:pStyle w:val="Corps"/>
      </w:pPr>
      <w:r>
        <w:t xml:space="preserve">La qualité procédurale, la capacité et les pouvoirs résultent de [Qualité procédurale de la défenderesse] et [Capacité et pouvoirs de la défenderesse]. Les pouvoirs du représentant et, le cas échéant, la décision autorisant la défense ou la demande reconventionnelle sont rapprochés des pièces sociales ou institutionnelles pertinentes.</w:t>
      </w:r>
    </w:p>
    <w:p>
      <w:pPr>
        <w:pStyle w:val="Intertitre"/>
      </w:pPr>
      <w:r>
        <w:t xml:space="preserve"> — choisir une seule variante</w:t>
      </w:r>
    </w:p>
    <w:p>
      <w:pPr>
        <w:pStyle w:val="Variante"/>
      </w:pPr>
      <w:r>
        <w:t xml:space="preserve">Variante : CONTRE — DEMANDERESSE PERSONNE PHYSIQUE</w:t>
      </w:r>
    </w:p>
    <w:p>
      <w:pPr>
        <w:pStyle w:val="Corps"/>
      </w:pPr>
      <w:r>
        <w:t xml:space="preserve">[Nom du demandeur] [Prénoms du demandeur], demeurant [Domicile du demandeur], est prise en qualité de demanderesse. Son identité, son domicile, sa capacité, sa qualité et son intérêt à agir sont appréciés à partir de l'acte introductif et des justificatifs régulièrement communiqués.</w:t>
      </w:r>
    </w:p>
    <w:p>
      <w:pPr>
        <w:pStyle w:val="Variante"/>
      </w:pPr>
      <w:r>
        <w:t xml:space="preserve">Variante : CONTRE — DEMANDERESSE PERSONNE MORALE</w:t>
      </w:r>
    </w:p>
    <w:p>
      <w:pPr>
        <w:pStyle w:val="Corps"/>
      </w:pPr>
      <w:r>
        <w:t xml:space="preserve">[Dénomination du demandeur], [Forme juridique du demandeur], immatriculée sous [Immatriculation du demandeur] et ayant son siège [Siège du demandeur], est prise en qualité de demanderesse. Elle déclare être représentée par [Représentant du demandeur], dont la fonction et les pouvoirs sont rapprochés des pièces produites.</w:t>
      </w:r>
    </w:p>
    <w:p>
      <w:pPr>
        <w:pStyle w:val="Intertitre"/>
      </w:pPr>
      <w:r>
        <w:t xml:space="preserve">Clause optionnelle : PLURALITÉ DE DEMANDERESSES</w:t>
      </w:r>
    </w:p>
    <w:p>
      <w:pPr>
        <w:pStyle w:val="Corps"/>
      </w:pPr>
      <w:r>
        <w:t xml:space="preserve">Les demanderesses sont distinguées dans [Tableau des demandeurs]. Le tableau rattache à chacune sa qualité, son intérêt, son représentant, ses prétentions principales et subsidiaires, les montants réclamés et les pièces correspondantes, sans attribuer automatiquement à l'une les droits allégués par une autre.</w:t>
      </w:r>
    </w:p>
    <w:p>
      <w:pPr>
        <w:pStyle w:val="Intertitre"/>
      </w:pPr>
      <w:r>
        <w:t xml:space="preserve">QUALITÉ ET POUVOIRS DE LA DEMANDERESSE</w:t>
      </w:r>
    </w:p>
    <w:p>
      <w:pPr>
        <w:pStyle w:val="Corps"/>
      </w:pPr>
      <w:r>
        <w:t xml:space="preserve">La qualité, l'intérêt, la capacité et les pouvoirs allégués résultent de [Capacité et pouvoirs de la demanderesse] et sont appréciés avec [Qualité et intérêt à agir]. Cette vérification ne préjuge pas d'une fin de non-recevoir, laquelle doit être activée et développée séparément lorsqu'elle est soutenue.</w:t>
      </w:r>
    </w:p>
    <w:p>
      <w:pPr>
        <w:pStyle w:val="Intertitre"/>
      </w:pPr>
      <w:r>
        <w:t xml:space="preserve"> — choisir une seule variante</w:t>
      </w:r>
    </w:p>
    <w:p>
      <w:pPr>
        <w:pStyle w:val="Variante"/>
      </w:pPr>
      <w:r>
        <w:t xml:space="preserve">Variante : CONSTITUTION D'AVOCAT</w:t>
      </w:r>
    </w:p>
    <w:p>
      <w:pPr>
        <w:pStyle w:val="Corps"/>
      </w:pPr>
      <w:r>
        <w:t xml:space="preserve">La défenderesse est représentée par [Avocat constitué], avocat au barreau de [Barreau de l'avocat], domicilié professionnellement [Adresse professionnelle de l'avocat]. La constitution, l'élection de domicile, le pouvoir de conclure et les modalités de notification sont appréciés selon la juridiction et la procédure effectivement applicables.</w:t>
      </w:r>
    </w:p>
    <w:p>
      <w:pPr>
        <w:pStyle w:val="Variante"/>
      </w:pPr>
      <w:r>
        <w:t xml:space="preserve">Variante : DISPENSE D'AVOCAT — TRIBUNAL JUDICIAIRE</w:t>
      </w:r>
    </w:p>
    <w:p>
      <w:pPr>
        <w:pStyle w:val="Corps"/>
      </w:pPr>
      <w:r>
        <w:t xml:space="preserve">Devant le tribunal judiciaire, la dispense de constitution d'avocat résulte de [Fondement de la dispense de constitution]. Le montant [Montant retenu pour la représentation] est comparé au seuil officiel [Representation threshold amount], après contrôle de la matière, des demandes incidentes, des compétences exclusives et de toute règle spéciale imposant néanmoins la représentation.</w:t>
      </w:r>
    </w:p>
    <w:p>
      <w:pPr>
        <w:pStyle w:val="Variante"/>
      </w:pPr>
      <w:r>
        <w:t xml:space="preserve">Variante : DISPENSE D'AVOCAT — TRIBUNAL DE COMMERCE</w:t>
      </w:r>
    </w:p>
    <w:p>
      <w:pPr>
        <w:pStyle w:val="Corps"/>
      </w:pPr>
      <w:r>
        <w:t xml:space="preserve">Devant le tribunal de commerce, la dispense de constitution repose sur [Fondement de la dispense de constitution]. Le montant [Montant retenu pour la représentation] est comparé au seuil officiel [Commercial representation threshold amount] et la matière est vérifiée. Le représentant non avocat justifie en outre du pouvoir spécial référencé [Pouvoir spécial].</w:t>
      </w:r>
    </w:p>
    <w:p>
      <w:pPr>
        <w:pStyle w:val="Variante"/>
      </w:pPr>
      <w:r>
        <w:t xml:space="preserve">Variante : REPRÉSENTATION D'UNE PERSONNE PUBLIQUE</w:t>
      </w:r>
    </w:p>
    <w:p>
      <w:pPr>
        <w:pStyle w:val="Corps"/>
      </w:pPr>
      <w:r>
        <w:t xml:space="preserve">La personne publique défenderesse est représentée par [Représentant de la personne publique]. Sa qualité, sa compétence organique et son habilitation résultent de [Pouvoir du représentant public] ; les conclusions n'étendent pas cette faculté de représentation à une entité ou à un agent qui ne relève pas du texte applicable.</w:t>
      </w:r>
    </w:p>
    <w:p>
      <w:pPr>
        <w:pStyle w:val="Intertitre"/>
      </w:pPr>
      <w:r>
        <w:t xml:space="preserve">ACTE INTRODUCTIF ET SAISINE</w:t>
      </w:r>
    </w:p>
    <w:p>
      <w:pPr>
        <w:pStyle w:val="Corps"/>
      </w:pPr>
      <w:r>
        <w:t xml:space="preserve">L'instance a été introduite par [Acte introductif]. Cet acte est contrôlé quant à sa date, ses auteurs, ses destinataires, ses prétentions, ses fondements, ses pièces annoncées et sa preuve de saisine. Les présentes écritures restent dans le périmètre du litige ainsi déterminé, sous réserve des demandes incidentes recevables.</w:t>
      </w:r>
    </w:p>
    <w:p>
      <w:pPr>
        <w:pStyle w:val="Intertitre"/>
      </w:pPr>
      <w:r>
        <w:t xml:space="preserve">PRÉTENTIONS DE LA DEMANDERESSE</w:t>
      </w:r>
    </w:p>
    <w:p>
      <w:pPr>
        <w:pStyle w:val="Corps"/>
      </w:pPr>
      <w:r>
        <w:t xml:space="preserve">Les prétentions adverses, leur ordre et les chefs du dispositif sont recensés dans [Synthèse des prétentions adverses]. Chaque chef est identifié comme principal, subsidiaire ou accessoire afin d'éviter qu'une prétention adverse demeure sans réponse dans la discussion ou le dispositif.</w:t>
      </w:r>
    </w:p>
    <w:p>
      <w:pPr>
        <w:pStyle w:val="Intertitre"/>
      </w:pPr>
      <w:r>
        <w:t xml:space="preserve">RAPPEL DE LA PROCÉDURE</w:t>
      </w:r>
    </w:p>
    <w:p>
      <w:pPr>
        <w:pStyle w:val="Corps"/>
      </w:pPr>
      <w:r>
        <w:t xml:space="preserve">Les actes, audiences, décisions, incidents et communications sont exposés dans [Historique procédural]. La chronologie distingue la saisine, les notifications, les dépôts, les audiences, les décisions intermédiaires et les échéances encore applicables.</w:t>
      </w:r>
    </w:p>
    <w:p>
      <w:pPr>
        <w:pStyle w:val="Intertitre"/>
      </w:pPr>
      <w:r>
        <w:t xml:space="preserve">CALENDRIER ET COMMUNICATION</w:t>
      </w:r>
    </w:p>
    <w:p>
      <w:pPr>
        <w:pStyle w:val="Corps"/>
      </w:pPr>
      <w:r>
        <w:t xml:space="preserve">Les conclusions et pièces sont communiquées selon [Calendrier de communication] en temps utile pour permettre la contradiction.</w:t>
      </w:r>
    </w:p>
    <w:p>
      <w:pPr>
        <w:pStyle w:val="Corps"/>
      </w:pPr>
      <w:r>
        <w:t xml:space="preserve">Les écritures et pièces communiquées sont datées et rapprochées du calendrier de procédure. Toute pièce nouvelle est signalée avec l'explication de sa production et un délai permettant le contradictoire; une communication tardive ne doit pas être dissimulée dans le bordereau.</w:t>
      </w:r>
    </w:p>
    <w:p>
      <w:pPr>
        <w:pStyle w:val="Corps"/>
      </w:pPr>
      <w:r>
        <w:t xml:space="preserve">La défenderesse précise enfin les conséquences procédurales demandées en cas de communication incomplète ou ne permettant pas une discussion utile avant la clôture.</w:t>
      </w:r>
    </w:p>
    <w:p>
      <w:pPr>
        <w:pStyle w:val="Intertitre"/>
      </w:pPr>
      <w:r>
        <w:t xml:space="preserve">Clause optionnelle : MOYENS NOUVEAUX FORMELLEMENT DISTINCTS</w:t>
      </w:r>
    </w:p>
    <w:p>
      <w:pPr>
        <w:pStyle w:val="Corps"/>
      </w:pPr>
      <w:r>
        <w:t xml:space="preserve">Les moyens nouveaux sont identifiés dans [Moyens nouveaux]. Pour chacun, les conclusions précisent la prétention soutenue, le fait ou le texte nouvellement invoqué, la pièce correspondante et sa place distincte dans la discussion, afin que la partie adverse puisse utilement répondre.</w:t>
      </w:r>
    </w:p>
    <w:p>
      <w:pPr>
        <w:pStyle w:val="Intertitre"/>
      </w:pPr>
      <w:r>
        <w:t xml:space="preserve">Clause optionnelle : REPRISE DES DÉFENSES ET DEMANDES ANTÉRIEURES</w:t>
      </w:r>
    </w:p>
    <w:p>
      <w:pPr>
        <w:pStyle w:val="Corps"/>
      </w:pPr>
      <w:r>
        <w:t xml:space="preserve">La matrice [Matrice des écritures antérieures] recense chaque prétention, défense, demande reconventionnelle et moyen antérieurement formulé. Elle indique ceux qui sont maintenus, modifiés ou abandonnés, puis vérifie leur reprise dans la discussion et dans le dispositif des présentes conclusions.</w:t>
      </w:r>
    </w:p>
    <w:p>
      <w:pPr>
        <w:pStyle w:val="Intertitre"/>
      </w:pPr>
      <w:r>
        <w:t xml:space="preserve">Clause optionnelle : EFFET RÉCAPITULATIF EN PROCÉDURE ORALE MIXTE</w:t>
      </w:r>
    </w:p>
    <w:p>
      <w:pPr>
        <w:pStyle w:val="Corps"/>
      </w:pPr>
      <w:r>
        <w:t xml:space="preserve">En procédure orale avec représentation mixte, l'éventuel effet d'abandon repose exclusivement sur [Décision sur l'effet récapitulatif] et sur les conditions de l'article 446-2-2. Sans accord requis ni décision du juge, les présentes écritures ne présument pas que les prétentions antérieures non reprises sont abandonnées.</w:t>
      </w:r>
    </w:p>
    <w:p>
      <w:pPr>
        <w:pStyle w:val="Intertitre"/>
      </w:pPr>
      <w:r>
        <w:t xml:space="preserve">Clause optionnelle : PRÉPARATION DE LA CONTRADICTION</w:t>
      </w:r>
    </w:p>
    <w:p>
      <w:pPr>
        <w:pStyle w:val="Corps"/>
      </w:pPr>
      <w:r>
        <w:t xml:space="preserve">La communication projetée des conclusions et pièces est organisée selon [Calendrier de communication]. La version, les destinataires, le canal et le délai de réponse restent à vérifier ; aucune mention de notification accomplie n'est insérée avant la conservation d'une preuve concordante.</w:t>
      </w:r>
    </w:p>
    <w:p>
      <w:pPr>
        <w:pStyle w:val="Intertitre"/>
      </w:pPr>
      <w:r>
        <w:t xml:space="preserve">Clause optionnelle : CONTRADICTION RESPECTÉE</w:t>
      </w:r>
    </w:p>
    <w:p>
      <w:pPr>
        <w:pStyle w:val="Corps"/>
      </w:pPr>
      <w:r>
        <w:t xml:space="preserve">La communication contradictoire des défenses, demandes propres et pièces ressort de [Preuve de notification]. La preuve est rapprochée de la version transmise, de ses destinataires, de sa date et du calendrier, afin de vérifier que chaque élément discuté a pu recevoir une réponse utile.</w:t>
      </w:r>
    </w:p>
    <w:p>
      <w:pPr>
        <w:pStyle w:val="Intertitre"/>
      </w:pPr>
      <w:r>
        <w:t xml:space="preserve">Clause optionnelle : NOTIFICATION EFFECTUÉE</w:t>
      </w:r>
    </w:p>
    <w:p>
      <w:pPr>
        <w:pStyle w:val="Corps"/>
      </w:pPr>
      <w:r>
        <w:t xml:space="preserve">La notification est établie par [Preuve de notification]. Cette preuve identifie la version adressée, la date, le canal et chaque destinataire ; sa conformité à [Calendrier de communication] est contrôlée sans confondre transmission aux parties et dépôt auprès de la juridiction.</w:t>
      </w:r>
    </w:p>
    <w:p>
      <w:pPr>
        <w:pStyle w:val="Intertitre"/>
      </w:pPr>
      <w:r>
        <w:t xml:space="preserve">Clause optionnelle : DÉPÔT EFFECTUÉ</w:t>
      </w:r>
    </w:p>
    <w:p>
      <w:pPr>
        <w:pStyle w:val="Corps"/>
      </w:pPr>
      <w:r>
        <w:t xml:space="preserve">Le dépôt auprès de la juridiction est établi par [Preuve de dépôt]. La preuve identifie la date, le canal, le dossier et la version déposée, laquelle doit correspondre aux conclusions notifiées ; toute différence fait l'objet d'une régularisation contradictoire distinctement tracée.</w:t>
      </w:r>
    </w:p>
    <w:p>
      <w:pPr>
        <w:pStyle w:val="Intertitre"/>
      </w:pPr>
      <w:r>
        <w:t xml:space="preserve">EXPOSÉ DES FAITS</w:t>
      </w:r>
    </w:p>
    <w:p>
      <w:pPr>
        <w:pStyle w:val="Corps"/>
      </w:pPr>
      <w:r>
        <w:t xml:space="preserve">L'exposé distingue les allégations de la demanderesse, les faits admis, les faits contestés et la chronologie soutenue par la défenderesse. Chaque événement est daté, attribué et relié à une pièce, sans confondre fait matériel, interprétation, qualification juridique ou simple argument.</w:t>
      </w:r>
    </w:p>
    <w:p>
      <w:pPr>
        <w:pStyle w:val="Intertitre"/>
      </w:pPr>
      <w:r>
        <w:t xml:space="preserve">ALLÉGATIONS DE LA DEMANDERESSE</w:t>
      </w:r>
    </w:p>
    <w:p>
      <w:pPr>
        <w:pStyle w:val="Corps"/>
      </w:pPr>
      <w:r>
        <w:t xml:space="preserve">Les allégations utiles sont recensées dans [Allégations factuelles adverses] sans les tenir pour établies. Chaque allégation est reliée au passage des écritures adverses qui la contient et à la pièce annoncée pour l'établir.</w:t>
      </w:r>
    </w:p>
    <w:p>
      <w:pPr>
        <w:pStyle w:val="Intertitre"/>
      </w:pPr>
      <w:r>
        <w:t xml:space="preserve">VERSION FACTUELLE DE LA DÉFENDERESSE</w:t>
      </w:r>
    </w:p>
    <w:p>
      <w:pPr>
        <w:pStyle w:val="Corps"/>
      </w:pPr>
      <w:r>
        <w:t xml:space="preserve">La chronologie soutenue par la défenderesse figure dans [Version factuelle de la défenderesse] avec un renvoi à chaque pièce utile. Les affirmations non documentées sont écartées et les divergences avec la chronologie adverse sont explicitées sans altérer les pièces.</w:t>
      </w:r>
    </w:p>
    <w:p>
      <w:pPr>
        <w:pStyle w:val="Intertitre"/>
      </w:pPr>
      <w:r>
        <w:t xml:space="preserve">ADMISSIONS ET CONTESTATIONS</w:t>
      </w:r>
    </w:p>
    <w:p>
      <w:pPr>
        <w:pStyle w:val="Corps"/>
      </w:pPr>
      <w:r>
        <w:t xml:space="preserve">La matrice [Matrice admissions-contestations] répond distinctement à chaque fait allégué. Une admission est limitée à son objet exact ; une contestation précise le fait discuté, la raison de la contestation et les éléments probatoires opposés.</w:t>
      </w:r>
    </w:p>
    <w:p>
      <w:pPr>
        <w:pStyle w:val="Intertitre"/>
      </w:pPr>
      <w:r>
        <w:t xml:space="preserve">FAITS CONSTANTS</w:t>
      </w:r>
    </w:p>
    <w:p>
      <w:pPr>
        <w:pStyle w:val="Corps"/>
      </w:pPr>
      <w:r>
        <w:t xml:space="preserve">Les faits admis ou établis sans controverse utile sont recensés dans [Faits constants].</w:t>
      </w:r>
    </w:p>
    <w:p>
      <w:pPr>
        <w:pStyle w:val="Corps"/>
      </w:pPr>
      <w:r>
        <w:t xml:space="preserve">La défenderesse circonscrit les éléments qu'elle admet sans reprendre à son compte leur qualification juridique. Pour chacun, elle précise la pièce commune ou adverse qui l'établit, sa date et sa portée. Cette présentation permet de concentrer le débat sur les véritables points de désaccord et ne vaut ni acquiescement aux demandes ni renonciation à un moyen de droit. Les faits postérieurs à l'introduction de l'instance sont distingués des circonstances initiales et rattachés à leurs justificatifs propres. Toute mention incertaine, rapportée ou dépourvue de pièce est exclue de cette rubrique et traitée, s'il y a lieu, parmi les faits contestés.</w:t>
      </w:r>
    </w:p>
    <w:p>
      <w:pPr>
        <w:pStyle w:val="Intertitre"/>
      </w:pPr>
      <w:r>
        <w:t xml:space="preserve">FAITS CONTESTÉS</w:t>
      </w:r>
    </w:p>
    <w:p>
      <w:pPr>
        <w:pStyle w:val="Corps"/>
      </w:pPr>
      <w:r>
        <w:t xml:space="preserve">Les faits demeurant en débat et les preuves opposées sont distingués dans [Faits contestés].</w:t>
      </w:r>
    </w:p>
    <w:p>
      <w:pPr>
        <w:pStyle w:val="Corps"/>
      </w:pPr>
      <w:r>
        <w:t xml:space="preserve">Les affirmations adverses contestées sont reprises séparément, puis confrontées aux documents, échanges, dates et comportements invoqués par la défenderesse. La contestation indique si elle porte sur la matérialité du fait, son auteur, sa chronologie, son lien causal ou sa qualification. Elle expose la version soutenue sans transformer une simple dénégation en preuve positive. Les contradictions entre pièces sont identifiées et la raison pour laquelle l'une devrait prévaloir est explicitée. Lorsque la preuve incombe au demandeur, les conclusions signalent l'élément constitutif qui demeure non démontré; lorsque la défenderesse invoque un fait libératoire, elle désigne les pièces qui le soutiennent. Cette méthode est reprise dans les moyens afin que chaque conséquence juridique repose sur un fait clairement discuté.</w:t>
      </w:r>
    </w:p>
    <w:p>
      <w:pPr>
        <w:pStyle w:val="Intertitre"/>
      </w:pPr>
      <w:r>
        <w:t xml:space="preserve">PREUVES INVOQUÉES PAR LA DEMANDERESSE</w:t>
      </w:r>
    </w:p>
    <w:p>
      <w:pPr>
        <w:pStyle w:val="Corps"/>
      </w:pPr>
      <w:r>
        <w:t xml:space="preserve">La table [Table des preuves adverses] rapproche chaque prétention adverse de ses faits, moyens et pièces. La force probante, la pertinence, la portée et les éventuelles contradictions de chaque pièce sont examinées sans en modifier le contenu.</w:t>
      </w:r>
    </w:p>
    <w:p>
      <w:pPr>
        <w:pStyle w:val="Intertitre"/>
      </w:pPr>
      <w:r>
        <w:t xml:space="preserve">PREUVES DE LA DÉFENDERESSE</w:t>
      </w:r>
    </w:p>
    <w:p>
      <w:pPr>
        <w:pStyle w:val="Corps"/>
      </w:pPr>
      <w:r>
        <w:t xml:space="preserve">La table [Table des preuves de la défenderesse] rattache chaque défense et demande propre à ses faits, moyens et pièces. Aucune défense ou demande propre n'est présentée comme établie sans pièce ou règle de preuve identifiée dans cette correspondance.</w:t>
      </w:r>
    </w:p>
    <w:p>
      <w:pPr>
        <w:pStyle w:val="Intertitre"/>
      </w:pPr>
      <w:r>
        <w:t xml:space="preserve"> — choisir une seule variante</w:t>
      </w:r>
    </w:p>
    <w:p>
      <w:pPr>
        <w:pStyle w:val="Variante"/>
      </w:pPr>
      <w:r>
        <w:t xml:space="preserve">Variante : AUCUNE EXCEPTION DE PROCÉDURE</w:t>
      </w:r>
    </w:p>
    <w:p>
      <w:pPr>
        <w:pStyle w:val="Corps"/>
      </w:pPr>
      <w:r>
        <w:t xml:space="preserve">Aucune exception de procédure n'est soulevée dans les présentes conclusions. Cette absence résulte d'un contrôle du dossier et ne vaut ni reconnaissance de la compétence au-delà de la saisine, ni renonciation à une défense au fond ou à une fin de non-recevoir recevable.</w:t>
      </w:r>
    </w:p>
    <w:p>
      <w:pPr>
        <w:pStyle w:val="Variante"/>
      </w:pPr>
      <w:r>
        <w:t xml:space="preserve">Variante : EXCEPTION D'INCOMPÉTENCE</w:t>
      </w:r>
    </w:p>
    <w:p>
      <w:pPr>
        <w:pStyle w:val="Corps"/>
      </w:pPr>
      <w:r>
        <w:t xml:space="preserve">L'incompétence est soutenue par [Exception d'incompétence] et le renvoi est demandé devant [Juridiction estimée compétente]. L'exception est motivée avant toute défense au fond et désigne la juridiction devant laquelle le renvoi est sollicité, sans préjuger la réponse subsidiaire au fond.</w:t>
      </w:r>
    </w:p>
    <w:p>
      <w:pPr>
        <w:pStyle w:val="Variante"/>
      </w:pPr>
      <w:r>
        <w:t xml:space="preserve">Variante : EXCEPTION TIRÉE D'UNE IRRÉGULARITÉ</w:t>
      </w:r>
    </w:p>
    <w:p>
      <w:pPr>
        <w:pStyle w:val="Corps"/>
      </w:pPr>
      <w:r>
        <w:t xml:space="preserve">L'irrégularité, son grief, sa sanction et sa régularisation éventuelle sont exposés dans [Irrégularité procédurale]. La nature de l'exception, son régime propre, son ordre de présentation et les conditions de sa sanction sont distingués d'une simple défense au fond.</w:t>
      </w:r>
    </w:p>
    <w:p>
      <w:pPr>
        <w:pStyle w:val="Variante"/>
      </w:pPr>
      <w:r>
        <w:t xml:space="preserve">Variante : EXCEPTION DE SUSPENSION OU AFFAIRE LIÉE</w:t>
      </w:r>
    </w:p>
    <w:p>
      <w:pPr>
        <w:pStyle w:val="Corps"/>
      </w:pPr>
      <w:r>
        <w:t xml:space="preserve">La mesure procédurale sollicitée repose sur [Exception de suspension ou affaire liée]. La procédure parallèle ou l'événement invoqué est identifié avec sa juridiction, son objet, son état et son incidence précise sur la présente instance.</w:t>
      </w:r>
    </w:p>
    <w:p>
      <w:pPr>
        <w:pStyle w:val="Variante"/>
      </w:pPr>
      <w:r>
        <w:t xml:space="preserve">Variante : AUTRE EXCEPTION DE PROCÉDURE</w:t>
      </w:r>
    </w:p>
    <w:p>
      <w:pPr>
        <w:pStyle w:val="Corps"/>
      </w:pPr>
      <w:r>
        <w:t xml:space="preserve">L'exception repose sur [Autre exception de procédure] et sur le texte officiel qui en fixe le régime. Les écritures identifient l'incident, ses faits générateurs, ses conditions, son ordre de présentation, le grief éventuel, les pièces utiles et la conséquence procédurale précisément demandée au tribunal.</w:t>
      </w:r>
    </w:p>
    <w:p>
      <w:pPr>
        <w:pStyle w:val="Intertitre"/>
      </w:pPr>
      <w:r>
        <w:t xml:space="preserve">Clause optionnelle : ORDRE DE PRÉSENTATION DES EXCEPTIONS</w:t>
      </w:r>
    </w:p>
    <w:p>
      <w:pPr>
        <w:pStyle w:val="Corps"/>
      </w:pPr>
      <w:r>
        <w:t xml:space="preserve">La présentation simultanée et antérieure aux défenses au fond ou fins de non-recevoir résulte de [Antériorité des exceptions]. Les actes antérieurs de la défenderesse sont inventoriés pour vérifier qu'aucune défense au fond ou fin de non-recevoir n'a rendu l'exception irrecevable.</w:t>
      </w:r>
    </w:p>
    <w:p>
      <w:pPr>
        <w:pStyle w:val="Intertitre"/>
      </w:pPr>
      <w:r>
        <w:t xml:space="preserve"> — choisir une seule variante</w:t>
      </w:r>
    </w:p>
    <w:p>
      <w:pPr>
        <w:pStyle w:val="Variante"/>
      </w:pPr>
      <w:r>
        <w:t xml:space="preserve">Variante : AUCUNE FIN DE NON-RECEVOIR</w:t>
      </w:r>
    </w:p>
    <w:p>
      <w:pPr>
        <w:pStyle w:val="Corps"/>
      </w:pPr>
      <w:r>
        <w:t xml:space="preserve">Aucune fin de non-recevoir n'est soulevée dans les présentes conclusions. Ce constat n'emporte aucune admission du bien-fondé des prétentions adverses et laisse intactes les défenses portant sur l'existence, l'exigibilité, la preuve ou l'étendue du droit invoqué.</w:t>
      </w:r>
    </w:p>
    <w:p>
      <w:pPr>
        <w:pStyle w:val="Variante"/>
      </w:pPr>
      <w:r>
        <w:t xml:space="preserve">Variante : DÉFAUT DE QUALITÉ, D'INTÉRÊT OU DE DROIT D'AGIR</w:t>
      </w:r>
    </w:p>
    <w:p>
      <w:pPr>
        <w:pStyle w:val="Corps"/>
      </w:pPr>
      <w:r>
        <w:t xml:space="preserve">La fin de non-recevoir repose sur [Défaut de qualité ou d'intérêt]. Le moyen tend à l'irrecevabilité sans examen du bien-fondé ; les faits et pièces établissant l'absence du droit d'agir sont distingués des contestations au fond.</w:t>
      </w:r>
    </w:p>
    <w:p>
      <w:pPr>
        <w:pStyle w:val="Variante"/>
      </w:pPr>
      <w:r>
        <w:t xml:space="preserve">Variante : PRESCRIPTION OU DÉLAI PRÉFIX</w:t>
      </w:r>
    </w:p>
    <w:p>
      <w:pPr>
        <w:pStyle w:val="Corps"/>
      </w:pPr>
      <w:r>
        <w:t xml:space="preserve">La fin de non-recevoir temporelle repose sur [Fin de non-recevoir temporelle]. Son calcul identifie la règle applicable, le point de départ, la durée, le terme et chaque interruption, suspension ou report invoqué. Toutes les dates sont rapprochées des actes et pièces correspondants avant de conclure à l'irrecevabilité.</w:t>
      </w:r>
    </w:p>
    <w:p>
      <w:pPr>
        <w:pStyle w:val="Variante"/>
      </w:pPr>
      <w:r>
        <w:t xml:space="preserve">Variante : AUTORITÉ DE CHOSE JUGÉE</w:t>
      </w:r>
    </w:p>
    <w:p>
      <w:pPr>
        <w:pStyle w:val="Corps"/>
      </w:pPr>
      <w:r>
        <w:t xml:space="preserve">La fin de non-recevoir repose sur [Autorité de chose jugée]. La décision antérieure est identifiée par sa juridiction, sa date, son caractère définitif et son dispositif. L'identité des parties, de l'objet et de la cause est ensuite comparée, chef par chef, aux prétentions actuellement soumises.</w:t>
      </w:r>
    </w:p>
    <w:p>
      <w:pPr>
        <w:pStyle w:val="Variante"/>
      </w:pPr>
      <w:r>
        <w:t xml:space="preserve">Variante : AUTRE FIN DE NON-RECEVOIR</w:t>
      </w:r>
    </w:p>
    <w:p>
      <w:pPr>
        <w:pStyle w:val="Corps"/>
      </w:pPr>
      <w:r>
        <w:t xml:space="preserve">La fin de non-recevoir repose sur [Autre fin de non-recevoir] et son texte officiel. Le moyen ne peut être qualifié de fin de non-recevoir que s'il tend à faire déclarer la prétention irrecevable sans examen du fond.</w:t>
      </w:r>
    </w:p>
    <w:p>
      <w:pPr>
        <w:pStyle w:val="Intertitre"/>
      </w:pPr>
      <w:r>
        <w:t xml:space="preserve">Clause optionnelle : TEMPORALITÉ DE LA FIN DE NON-RECEVOIR</w:t>
      </w:r>
    </w:p>
    <w:p>
      <w:pPr>
        <w:pStyle w:val="Corps"/>
      </w:pPr>
      <w:r>
        <w:t xml:space="preserve">Le moment de présentation et l'absence de finalité dilatoire ressortent de [Temporalité de la fin de non-recevoir]. La possibilité d'une présentation en tout état de cause est appréciée avec les textes spéciaux et le risque de dommages-intérêts en cas d'abstention dilatoire.</w:t>
      </w:r>
    </w:p>
    <w:p>
      <w:pPr>
        <w:pStyle w:val="Intertitre"/>
      </w:pPr>
      <w:r>
        <w:t xml:space="preserve">DISCUSSION — DÉFENSES AU FOND</w:t>
      </w:r>
    </w:p>
    <w:p>
      <w:pPr>
        <w:pStyle w:val="Corps"/>
      </w:pPr>
      <w:r>
        <w:t xml:space="preserve">Au principal, la défenderesse sollicite le rejet total ou partiel des prétentions adverses ; subsidiairement, elle en demande la limitation lorsque les conditions exposées sont réunies. Chaque réponse suit le même ordre : règle applicable, faits prouvés, application au chef discuté et conséquence sollicitée.</w:t>
      </w:r>
    </w:p>
    <w:p>
      <w:pPr>
        <w:pStyle w:val="Intertitre"/>
      </w:pPr>
      <w:r>
        <w:t xml:space="preserve"> — choisir une seule variante</w:t>
      </w:r>
    </w:p>
    <w:p>
      <w:pPr>
        <w:pStyle w:val="Variante"/>
      </w:pPr>
      <w:r>
        <w:t xml:space="preserve">Variante : RÉPONSE À LA DEMANDE DE PAIEMENT</w:t>
      </w:r>
    </w:p>
    <w:p>
      <w:pPr>
        <w:pStyle w:val="Corps"/>
      </w:pPr>
      <w:r>
        <w:t xml:space="preserve">La demande de paiement est contestée selon [Réponse à la demande de paiement] et le décompte [Décompte défensif]. La défenderesse distingue l'absence d'obligation, l'inexigibilité, l'exécution, les paiements déjà intervenus, les contestations d'imputation et les erreurs de calcul.</w:t>
      </w:r>
    </w:p>
    <w:p>
      <w:pPr>
        <w:pStyle w:val="Variante"/>
      </w:pPr>
      <w:r>
        <w:t xml:space="preserve">Variante : RÉPONSE À LA DEMANDE D'EXÉCUTION EN NATURE</w:t>
      </w:r>
    </w:p>
    <w:p>
      <w:pPr>
        <w:pStyle w:val="Corps"/>
      </w:pPr>
      <w:r>
        <w:t xml:space="preserve">La demande d'exécution est contestée selon [Réponse à l'exécution en nature]. La réponse distingue l'existence de l'obligation, son contenu, son exigibilité, l'impossibilité éventuelle et la disproportion entre son coût et l'intérêt pour le créancier.</w:t>
      </w:r>
    </w:p>
    <w:p>
      <w:pPr>
        <w:pStyle w:val="Variante"/>
      </w:pPr>
      <w:r>
        <w:t xml:space="preserve">Variante : RÉPONSE À LA DEMANDE DE NULLITÉ</w:t>
      </w:r>
    </w:p>
    <w:p>
      <w:pPr>
        <w:pStyle w:val="Corps"/>
      </w:pPr>
      <w:r>
        <w:t xml:space="preserve">La nullité, ses conditions, sa confirmation éventuelle et ses effets sont contestés selon [Réponse à la nullité]. Chaque condition de validité invoquée est confrontée aux faits, aux actes d'exécution, à la qualité de la personne protégée et aux restitutions effectivement sollicitées.</w:t>
      </w:r>
    </w:p>
    <w:p>
      <w:pPr>
        <w:pStyle w:val="Variante"/>
      </w:pPr>
      <w:r>
        <w:t xml:space="preserve">Variante : RÉPONSE À LA RÉSOLUTION OU RÉSILIATION</w:t>
      </w:r>
    </w:p>
    <w:p>
      <w:pPr>
        <w:pStyle w:val="Corps"/>
      </w:pPr>
      <w:r>
        <w:t xml:space="preserve">L'inexécution alléguée, sa gravité et les effets demandés sont contestés selon [Réponse à la résolution ou résiliation]. La défenderesse répond séparément à l'obligation alléguée, au manquement, à sa gravité, aux mises en demeure et à la portée temporelle de la sanction demandée.</w:t>
      </w:r>
    </w:p>
    <w:p>
      <w:pPr>
        <w:pStyle w:val="Variante"/>
      </w:pPr>
      <w:r>
        <w:t xml:space="preserve">Variante : RÉPONSE À LA RESPONSABILITÉ CONTRACTUELLE</w:t>
      </w:r>
    </w:p>
    <w:p>
      <w:pPr>
        <w:pStyle w:val="Corps"/>
      </w:pPr>
      <w:r>
        <w:t xml:space="preserve">Le manquement, le préjudice et la causalité sont contestés séparément selon [Réponse à la responsabilité contractuelle]. Les stipulations applicables, l'imputabilité, les causes étrangères, la certitude du préjudice et le lien causal sont examinés chef par chef.</w:t>
      </w:r>
    </w:p>
    <w:p>
      <w:pPr>
        <w:pStyle w:val="Variante"/>
      </w:pPr>
      <w:r>
        <w:t xml:space="preserve">Variante : RÉPONSE À LA RESPONSABILITÉ EXTRACONTRACTUELLE</w:t>
      </w:r>
    </w:p>
    <w:p>
      <w:pPr>
        <w:pStyle w:val="Corps"/>
      </w:pPr>
      <w:r>
        <w:t xml:space="preserve">La faute, le préjudice, la causalité et les exonérations invoquées sont exposés dans [Réponse à la responsabilité extracontractuelle]. La défenderesse distingue la faute alléguée, le dommage personnel et certain, le lien causal et chaque cause d'exonération soutenue par les pièces.</w:t>
      </w:r>
    </w:p>
    <w:p>
      <w:pPr>
        <w:pStyle w:val="Variante"/>
      </w:pPr>
      <w:r>
        <w:t xml:space="preserve">Variante : RÉPONSE AU FONDEMENT SPÉCIAL</w:t>
      </w:r>
    </w:p>
    <w:p>
      <w:pPr>
        <w:pStyle w:val="Corps"/>
      </w:pPr>
      <w:r>
        <w:t xml:space="preserve">La prétention fondée sur [Fondement adverse] est contestée condition par condition selon [Réponse au fondement spécial]. Aucune condition du régime spécial n'est présumée ; le texte en vigueur, son champ d'application et ses sanctions sont rapprochés des faits établis.</w:t>
      </w:r>
    </w:p>
    <w:p>
      <w:pPr>
        <w:pStyle w:val="Intertitre"/>
      </w:pPr>
      <w:r>
        <w:t xml:space="preserve">Clause optionnelle : INSUFFISANCE DE PREUVE ADVERSE</w:t>
      </w:r>
    </w:p>
    <w:p>
      <w:pPr>
        <w:pStyle w:val="Corps"/>
      </w:pPr>
      <w:r>
        <w:t xml:space="preserve">Les lacunes de la charge probatoire adverse ressortent de [Table des preuves adverses] et de la réponse [Matrice admissions-contestations]. La critique probatoire demeure distincte d'une affirmation inverse : elle identifie précisément ce que la demanderesse devait établir et ce que ses pièces ne démontrent pas.</w:t>
      </w:r>
    </w:p>
    <w:p>
      <w:pPr>
        <w:pStyle w:val="Intertitre"/>
      </w:pPr>
      <w:r>
        <w:t xml:space="preserve"> — choisir une seule variante</w:t>
      </w:r>
    </w:p>
    <w:p>
      <w:pPr>
        <w:pStyle w:val="Variante"/>
      </w:pPr>
      <w:r>
        <w:t xml:space="preserve">Variante : REJET TOTAL DEMANDÉ</w:t>
      </w:r>
    </w:p>
    <w:p>
      <w:pPr>
        <w:pStyle w:val="Corps"/>
      </w:pPr>
      <w:r>
        <w:t xml:space="preserve">Le rejet intégral repose sur [Fondement du rejet total]. Il n'est sollicité que si l'analyse répond à chaque prétention principale, subsidiaire et accessoire encore soutenue. Les motifs de rejet sont individualisés afin que le dispositif ne dépasse ni les moyens développés ni les parties concernées.</w:t>
      </w:r>
    </w:p>
    <w:p>
      <w:pPr>
        <w:pStyle w:val="Variante"/>
      </w:pPr>
      <w:r>
        <w:t xml:space="preserve">Variante : REJET PARTIEL ET VENTILATION</w:t>
      </w:r>
    </w:p>
    <w:p>
      <w:pPr>
        <w:pStyle w:val="Corps"/>
      </w:pPr>
      <w:r>
        <w:t xml:space="preserve">Les chefs à rejeter, limiter ou admettre sont ventilés dans [Ventilation du rejet partiel]. La ventilation évite toute contradiction entre les chefs et précise pour chacun le sort demandé, son assiette et son fondement.</w:t>
      </w:r>
    </w:p>
    <w:p>
      <w:pPr>
        <w:pStyle w:val="Variante"/>
      </w:pPr>
      <w:r>
        <w:t xml:space="preserve">Variante : REJET PRINCIPAL ET LIMITATION À TITRE SUBSIDIAIRE</w:t>
      </w:r>
    </w:p>
    <w:p>
      <w:pPr>
        <w:pStyle w:val="Corps"/>
      </w:pPr>
      <w:r>
        <w:t xml:space="preserve">À titre principal, le rejet repose sur [Fondement du rejet total] ; à défaut, la limitation sollicitée est définie dans [Limitation subsidiaire]. La limitation ne constitue pas une admission du principe et doit être formulée uniquement à défaut d'accueil de la défense principale.</w:t>
      </w:r>
    </w:p>
    <w:p>
      <w:pPr>
        <w:pStyle w:val="Intertitre"/>
      </w:pPr>
      <w:r>
        <w:t xml:space="preserve"> — choisir une seule variante</w:t>
      </w:r>
    </w:p>
    <w:p>
      <w:pPr>
        <w:pStyle w:val="Variante"/>
      </w:pPr>
      <w:r>
        <w:t xml:space="preserve">Variante : AUCUNE DEMANDE RECONVENTIONNELLE</w:t>
      </w:r>
    </w:p>
    <w:p>
      <w:pPr>
        <w:pStyle w:val="Corps"/>
      </w:pPr>
      <w:r>
        <w:t xml:space="preserve">La défenderesse ne formule aucune demande reconventionnelle et sollicite uniquement le rejet ou la limitation des prétentions adverses. Les demandes relatives aux dépens et aux frais irrépétibles demeurent des accessoires procéduraux et ne sont pas présentées comme un avantage autonome au fond.</w:t>
      </w:r>
    </w:p>
    <w:p>
      <w:pPr>
        <w:pStyle w:val="Variante"/>
      </w:pPr>
      <w:r>
        <w:t xml:space="preserve">Variante : DEMANDE RECONVENTIONNELLE EN PAIEMENT</w:t>
      </w:r>
    </w:p>
    <w:p>
      <w:pPr>
        <w:pStyle w:val="Corps"/>
      </w:pPr>
      <w:r>
        <w:t xml:space="preserve">La défenderesse demande paiement selon [Demande reconventionnelle en paiement]. Cette prétention tend à procurer à la défenderesse un avantage propre distinct du simple rejet et son décompte est autonome de la contestation adverse.</w:t>
      </w:r>
    </w:p>
    <w:p>
      <w:pPr>
        <w:pStyle w:val="Variante"/>
      </w:pPr>
      <w:r>
        <w:t xml:space="preserve">Variante : DEMANDE RECONVENTIONNELLE D'EXÉCUTION</w:t>
      </w:r>
    </w:p>
    <w:p>
      <w:pPr>
        <w:pStyle w:val="Corps"/>
      </w:pPr>
      <w:r>
        <w:t xml:space="preserve">La défenderesse sollicite l'exécution définie dans [Demande reconventionnelle d'exécution]. Elle établit l'obligation invoquée, son contenu, son débiteur, son exigibilité et la possibilité matérielle de l'exécuter. Le lien avec les prétentions originaires et la formulation exacte de l'avantage propre sont justifiés séparément.</w:t>
      </w:r>
    </w:p>
    <w:p>
      <w:pPr>
        <w:pStyle w:val="Variante"/>
      </w:pPr>
      <w:r>
        <w:t xml:space="preserve">Variante : DEMANDE RECONVENTIONNELLE INDEMNITAIRE</w:t>
      </w:r>
    </w:p>
    <w:p>
      <w:pPr>
        <w:pStyle w:val="Corps"/>
      </w:pPr>
      <w:r>
        <w:t xml:space="preserve">La demande indemnitaire propre repose sur [Fondement reconventionnel] et est détaillée dans [Demande reconventionnelle indemnitaire]. La demande distingue le fait générateur, chaque préjudice, sa méthode d'évaluation et son lien causal sans recycler le seul rejet demandé.</w:t>
      </w:r>
    </w:p>
    <w:p>
      <w:pPr>
        <w:pStyle w:val="Variante"/>
      </w:pPr>
      <w:r>
        <w:t xml:space="preserve">Variante : AUTRE DEMANDE RECONVENTIONNELLE</w:t>
      </w:r>
    </w:p>
    <w:p>
      <w:pPr>
        <w:pStyle w:val="Corps"/>
      </w:pPr>
      <w:r>
        <w:t xml:space="preserve">L'avantage propre demandé est défini dans [Autre demande reconventionnelle] avec son fondement officiel. Sa qualification de demande reconventionnelle, sa recevabilité, son lien suffisant avec les prétentions originaires, ses éléments constitutifs, ses preuves et la conséquence sollicitée sont exposés sans le confondre avec une simple défense.</w:t>
      </w:r>
    </w:p>
    <w:p>
      <w:pPr>
        <w:pStyle w:val="Intertitre"/>
      </w:pPr>
      <w:r>
        <w:t xml:space="preserve">Clause optionnelle : LIEN AVEC LES PRÉTENTIONS ORIGINAIRES</w:t>
      </w:r>
    </w:p>
    <w:p>
      <w:pPr>
        <w:pStyle w:val="Corps"/>
      </w:pPr>
      <w:r>
        <w:t xml:space="preserve">Le lien suffisant ou le régime propre à la compensation ressort de [Lien suffisant]. La compensation demeure traitée selon son régime particulier ; pour les autres demandes, le lien factuel et juridique avec les prétentions originaires est explicité.</w:t>
      </w:r>
    </w:p>
    <w:p>
      <w:pPr>
        <w:pStyle w:val="Intertitre"/>
      </w:pPr>
      <w:r>
        <w:t xml:space="preserve">Clause optionnelle : PREUVES DE LA DEMANDE RECONVENTIONNELLE</w:t>
      </w:r>
    </w:p>
    <w:p>
      <w:pPr>
        <w:pStyle w:val="Corps"/>
      </w:pPr>
      <w:r>
        <w:t xml:space="preserve">La table [Table des preuves reconventionnelles] rattache la demande propre à ses faits, moyens et pièces. Chaque élément constitutif de la demande propre et chaque montant sont rattachés à une pièce déterminée et communiquée contradictoirement.</w:t>
      </w:r>
    </w:p>
    <w:p>
      <w:pPr>
        <w:pStyle w:val="Intertitre"/>
      </w:pPr>
      <w:r>
        <w:t xml:space="preserve">Clause optionnelle : CONTESTATION DU QUANTUM ADVERSE</w:t>
      </w:r>
    </w:p>
    <w:p>
      <w:pPr>
        <w:pStyle w:val="Corps"/>
      </w:pPr>
      <w:r>
        <w:t xml:space="preserve">Les postes, méthodes, périodes, justificatifs et causalités sont discutés dans [Décompte des préjudices]. La défenderesse distingue l'existence du préjudice, son imputabilité, l'absence de double indemnisation, la méthode de calcul et les justificatifs produits.</w:t>
      </w:r>
    </w:p>
    <w:p>
      <w:pPr>
        <w:pStyle w:val="Intertitre"/>
      </w:pPr>
      <w:r>
        <w:t xml:space="preserve">Clause optionnelle : DISCUSSION SUR LES INTÉRÊTS</w:t>
      </w:r>
    </w:p>
    <w:p>
      <w:pPr>
        <w:pStyle w:val="Corps"/>
      </w:pPr>
      <w:r>
        <w:t xml:space="preserve">Le principe, le point de départ, le taux et le calcul sont discutés selon [Point de départ des intérêts] et [Calcul des intérêts]. La réponse distingue intérêts moratoires ou indemnitaires, assiette, point de départ, taux et éventuelle incidence des paiements ou compensations.</w:t>
      </w:r>
    </w:p>
    <w:p>
      <w:pPr>
        <w:pStyle w:val="Intertitre"/>
      </w:pPr>
      <w:r>
        <w:t xml:space="preserve">Clause optionnelle : DISCUSSION SUR LA CAPITALISATION DES INTÉRÊTS</w:t>
      </w:r>
    </w:p>
    <w:p>
      <w:pPr>
        <w:pStyle w:val="Corps"/>
      </w:pPr>
      <w:r>
        <w:t xml:space="preserve">La capitalisation est discutée selon [Capitalisation]. Les conclusions identifient les intérêts concernés, leur assiette, leur point de départ et l'échéance à laquelle une année entière est due. Le chef sollicité respecte cette périodicité et ne capitalise aucun montant encore indéterminé.</w:t>
      </w:r>
    </w:p>
    <w:p>
      <w:pPr>
        <w:pStyle w:val="Intertitre"/>
      </w:pPr>
      <w:r>
        <w:t xml:space="preserve">Clause optionnelle : DISCUSSION SUR LA CLAUSE PÉNALE</w:t>
      </w:r>
    </w:p>
    <w:p>
      <w:pPr>
        <w:pStyle w:val="Corps"/>
      </w:pPr>
      <w:r>
        <w:t xml:space="preserve">La mise en œuvre et le pouvoir modérateur sont discutés dans [Clause pénale]. La clause, l'inexécution, la mise en demeure lorsqu'elle est requise, l'exécution partielle et le caractère excessif ou dérisoire sont distingués.</w:t>
      </w:r>
    </w:p>
    <w:p>
      <w:pPr>
        <w:pStyle w:val="Intertitre"/>
      </w:pPr>
      <w:r>
        <w:t xml:space="preserve">Clause optionnelle : DISCUSSION SUR LA COMPENSATION</w:t>
      </w:r>
    </w:p>
    <w:p>
      <w:pPr>
        <w:pStyle w:val="Corps"/>
      </w:pPr>
      <w:r>
        <w:t xml:space="preserve">La compensation est demandée ou contestée selon [Compensation]. Chaque obligation réciproque est individualisée par son créancier, son débiteur, son origine et son montant. La certitude, la liquidité, l'exigibilité, la connexité éventuelle et la date de réunion des conditions sont examinées distinctement.</w:t>
      </w:r>
    </w:p>
    <w:p>
      <w:pPr>
        <w:pStyle w:val="Intertitre"/>
      </w:pPr>
      <w:r>
        <w:t xml:space="preserve">Clause optionnelle : DISCUSSION SUR LA MESURE D'INSTRUCTION</w:t>
      </w:r>
    </w:p>
    <w:p>
      <w:pPr>
        <w:pStyle w:val="Corps"/>
      </w:pPr>
      <w:r>
        <w:t xml:space="preserve">La mesure sollicitée ou contestée est définie dans [Mesure d'instruction] et limitée à des questions de fait. La mission, son utilité, son périmètre, les documents concernés, la provision et l'absence de délégation d'une question de droit sont vérifiés.</w:t>
      </w:r>
    </w:p>
    <w:p>
      <w:pPr>
        <w:pStyle w:val="Intertitre"/>
      </w:pPr>
      <w:r>
        <w:t xml:space="preserve">Clause optionnelle : DISCUSSION SUR L'ASTREINTE</w:t>
      </w:r>
    </w:p>
    <w:p>
      <w:pPr>
        <w:pStyle w:val="Corps"/>
      </w:pPr>
      <w:r>
        <w:t xml:space="preserve">L'astreinte sollicitée ou contestée est définie dans [Astreinte]. L'obligation principale, son débiteur, le comportement attendu, le montant, la périodicité, le point de départ, la durée et les modalités de liquidation sont précisés. La mesure demeure proportionnée à l'exécution recherchée.</w:t>
      </w:r>
    </w:p>
    <w:p>
      <w:pPr>
        <w:pStyle w:val="Intertitre"/>
      </w:pPr>
      <w:r>
        <w:t xml:space="preserve"> — choisir une seule variante</w:t>
      </w:r>
    </w:p>
    <w:p>
      <w:pPr>
        <w:pStyle w:val="Variante"/>
      </w:pPr>
      <w:r>
        <w:t xml:space="preserve">Variante : DISCUSSION SUR L'EXÉCUTION PROVISOIRE DE DROIT</w:t>
      </w:r>
    </w:p>
    <w:p>
      <w:pPr>
        <w:pStyle w:val="Corps"/>
      </w:pPr>
      <w:r>
        <w:t xml:space="preserve">Le régime d'exécution provisoire de droit est analysé dans [Exécution provisoire]. Les conclusions vérifient la date d'introduction de l'instance, la nature de la décision attendue et les éventuelles exceptions légales, puis distinguent ce constat d'une demande d'écartement ou de garantie.</w:t>
      </w:r>
    </w:p>
    <w:p>
      <w:pPr>
        <w:pStyle w:val="Variante"/>
      </w:pPr>
      <w:r>
        <w:t xml:space="preserve">Variante : DEMANDE D'ÉCARTEMENT DE L'EXÉCUTION PROVISOIRE</w:t>
      </w:r>
    </w:p>
    <w:p>
      <w:pPr>
        <w:pStyle w:val="Corps"/>
      </w:pPr>
      <w:r>
        <w:t xml:space="preserve">La demande d'écartement total ou partiel repose sur [Exécution provisoire] et sur son incompatibilité alléguée avec la nature de l'affaire. La demande distingue les conditions permettant au juge d'écarter l'exécution provisoire de droit et les conséquences propres à l'espèce.</w:t>
      </w:r>
    </w:p>
    <w:p>
      <w:pPr>
        <w:pStyle w:val="Variante"/>
      </w:pPr>
      <w:r>
        <w:t xml:space="preserve">Variante : DEMANDE DE CONSTITUTION D'UNE GARANTIE</w:t>
      </w:r>
    </w:p>
    <w:p>
      <w:pPr>
        <w:pStyle w:val="Corps"/>
      </w:pPr>
      <w:r>
        <w:t xml:space="preserve">La garantie réelle ou personnelle sollicitée repose sur [Exécution provisoire] et doit répondre aux restitutions ou réparations susceptibles de résulter de l'exécution. La nature, le montant, la durée et les modalités de constitution de la garantie sont précisés et proportionnés aux restitutions ou réparations possibles.</w:t>
      </w:r>
    </w:p>
    <w:p>
      <w:pPr>
        <w:pStyle w:val="Intertitre"/>
      </w:pPr>
      <w:r>
        <w:t xml:space="preserve">PAR CES MOTIFS</w:t>
      </w:r>
    </w:p>
    <w:p>
      <w:pPr>
        <w:pStyle w:val="Corps"/>
      </w:pPr>
      <w:r>
        <w:t xml:space="preserve">PAR CES MOTIFS, il est demandé au tribunal de statuer sur les seuls chefs ci-après, dans l'ordre des exceptions de procédure, fins de non-recevoir, défenses au fond, demandes reconventionnelles et accessoires, chacun correspondant à un moyen développé et à des pièces identifiées.</w:t>
      </w:r>
    </w:p>
    <w:p>
      <w:pPr>
        <w:pStyle w:val="Intertitre"/>
      </w:pPr>
      <w:r>
        <w:t xml:space="preserve">Clause optionnelle : EXCEPTION DE PROCÉDURE</w:t>
      </w:r>
    </w:p>
    <w:p>
      <w:pPr>
        <w:pStyle w:val="Corps"/>
      </w:pPr>
      <w:r>
        <w:t xml:space="preserve">À titre préalable, statuer sur l'exception selon [Chef sur l'exception]. Le chef désigne l'acte ou l'incident concerné et reprend exactement la sanction développée. En cas d'incompétence, il identifie la juridiction devant laquelle le renvoi est demandé sans préjuger les défenses subsidiaires au fond.</w:t>
      </w:r>
    </w:p>
    <w:p>
      <w:pPr>
        <w:pStyle w:val="Intertitre"/>
      </w:pPr>
      <w:r>
        <w:t xml:space="preserve">Clause optionnelle : FIN DE NON-RECEVOIR</w:t>
      </w:r>
    </w:p>
    <w:p>
      <w:pPr>
        <w:pStyle w:val="Corps"/>
      </w:pPr>
      <w:r>
        <w:t xml:space="preserve">Déclarer irrecevables les seules prétentions identifiées dans [Chef d'irrecevabilité]. Le chef précise la partie concernée, l'objet de chaque demande et la fin de non-recevoir correspondante, sans étendre la sanction à une prétention qui n'a pas été discutée sous ce moyen.</w:t>
      </w:r>
    </w:p>
    <w:p>
      <w:pPr>
        <w:pStyle w:val="Intertitre"/>
      </w:pPr>
      <w:r>
        <w:t xml:space="preserve">DÉFENSES AU FOND</w:t>
      </w:r>
    </w:p>
    <w:p>
      <w:pPr>
        <w:pStyle w:val="Corps"/>
      </w:pPr>
      <w:r>
        <w:t xml:space="preserve">Débouter la demanderesse ou limiter ses prétentions selon [Chef de rejet au fond]. Chaque chef principal, subsidiaire et accessoire reçoit un sort explicite, chiffré lorsque nécessaire, conforme au syllogisme développé et distinct des demandes propres éventuellement présentées par la défenderesse.</w:t>
      </w:r>
    </w:p>
    <w:p>
      <w:pPr>
        <w:pStyle w:val="Intertitre"/>
      </w:pPr>
      <w:r>
        <w:t xml:space="preserve">Clause optionnelle : DEMANDE RECONVENTIONNELLE</w:t>
      </w:r>
    </w:p>
    <w:p>
      <w:pPr>
        <w:pStyle w:val="Corps"/>
      </w:pPr>
      <w:r>
        <w:t xml:space="preserve">Faire droit à la demande reconventionnelle selon [Chef reconventionnel]. Le chef précise le bénéficiaire, le débiteur, l'objet, le fondement, le montant ou les modalités d'exécution et, si nécessaire, son caractère principal ou subsidiaire, sans renvoi général à la discussion.</w:t>
      </w:r>
    </w:p>
    <w:p>
      <w:pPr>
        <w:pStyle w:val="Intertitre"/>
      </w:pPr>
      <w:r>
        <w:t xml:space="preserve">Clause optionnelle : QUANTUM</w:t>
      </w:r>
    </w:p>
    <w:p>
      <w:pPr>
        <w:pStyle w:val="Corps"/>
      </w:pPr>
      <w:r>
        <w:t xml:space="preserve">Débouter la demanderesse des postes non établis et limiter les autres selon [Décompte des préjudices]. Le dispositif individualise chaque préjudice, sa période, son assiette et le plafond subsidiairement soutenu, afin d'éviter une condamnation globale ou une double indemnisation.</w:t>
      </w:r>
    </w:p>
    <w:p>
      <w:pPr>
        <w:pStyle w:val="Intertitre"/>
      </w:pPr>
      <w:r>
        <w:t xml:space="preserve">Clause optionnelle : INTÉRÊTS</w:t>
      </w:r>
    </w:p>
    <w:p>
      <w:pPr>
        <w:pStyle w:val="Corps"/>
      </w:pPr>
      <w:r>
        <w:t xml:space="preserve">Dire que les intérêts ne pourront courir que selon le point de départ établi par [Point de départ des intérêts] et le calcul vérifié dans [Calcul des intérêts]. Le chef identifie l'assiette, le taux et les paiements ou compensations qui en réduisent éventuellement le montant.</w:t>
      </w:r>
    </w:p>
    <w:p>
      <w:pPr>
        <w:pStyle w:val="Intertitre"/>
      </w:pPr>
      <w:r>
        <w:t xml:space="preserve">Clause optionnelle : CAPITALISATION</w:t>
      </w:r>
    </w:p>
    <w:p>
      <w:pPr>
        <w:pStyle w:val="Corps"/>
      </w:pPr>
      <w:r>
        <w:t xml:space="preserve">Rejeter ou ordonner la capitalisation dans les seules conditions établies par [Capitalisation]. Le chef limite l'anatocisme aux intérêts dus pour une année entière, identifie son point de départ et exclut les sommes qui ne peuvent légalement ou factuellement être capitalisées.</w:t>
      </w:r>
    </w:p>
    <w:p>
      <w:pPr>
        <w:pStyle w:val="Intertitre"/>
      </w:pPr>
      <w:r>
        <w:t xml:space="preserve">Clause optionnelle : CLAUSE PÉNALE</w:t>
      </w:r>
    </w:p>
    <w:p>
      <w:pPr>
        <w:pStyle w:val="Corps"/>
      </w:pPr>
      <w:r>
        <w:t xml:space="preserve">Rejeter, appliquer ou modérer la clause pénale selon [Clause pénale]. Le dispositif précise l'obligation garantie, le montant conventionnel, l'inexécution retenue et, le cas échéant, le montant demandé après prise en compte de l'exécution partielle ou du caractère manifestement excessif ou dérisoire.</w:t>
      </w:r>
    </w:p>
    <w:p>
      <w:pPr>
        <w:pStyle w:val="Intertitre"/>
      </w:pPr>
      <w:r>
        <w:t xml:space="preserve">Clause optionnelle : COMPENSATION</w:t>
      </w:r>
    </w:p>
    <w:p>
      <w:pPr>
        <w:pStyle w:val="Corps"/>
      </w:pPr>
      <w:r>
        <w:t xml:space="preserve">Prononcer ou rejeter la compensation selon [Compensation]. Le chef identifie les deux créances réciproques, leurs titulaires, leurs montants et la date d'effet sollicitée, puis précise le solde éventuel restant dû après extinction à due concurrence.</w:t>
      </w:r>
    </w:p>
    <w:p>
      <w:pPr>
        <w:pStyle w:val="Intertitre"/>
      </w:pPr>
      <w:r>
        <w:t xml:space="preserve">Clause optionnelle : MESURE D'INSTRUCTION</w:t>
      </w:r>
    </w:p>
    <w:p>
      <w:pPr>
        <w:pStyle w:val="Corps"/>
      </w:pPr>
      <w:r>
        <w:t xml:space="preserve">Ordonner, limiter ou rejeter la mesure décrite dans [Mesure d'instruction]. En cas d'expertise, le chef définit les seules questions de fait confiées au technicien, les documents à examiner, la provision, le délai et les modalités contradictoires, sans déléguer une qualification juridique.</w:t>
      </w:r>
    </w:p>
    <w:p>
      <w:pPr>
        <w:pStyle w:val="Intertitre"/>
      </w:pPr>
      <w:r>
        <w:t xml:space="preserve">Clause optionnelle : ASTREINTE</w:t>
      </w:r>
    </w:p>
    <w:p>
      <w:pPr>
        <w:pStyle w:val="Corps"/>
      </w:pPr>
      <w:r>
        <w:t xml:space="preserve">Ordonner, limiter ou rejeter l'astreinte décrite dans [Astreinte]. Le chef précise l'obligation assortie, son débiteur, le taux, la périodicité, le point de départ, la durée et la juridiction compétente pour la liquidation éventuelle.</w:t>
      </w:r>
    </w:p>
    <w:p>
      <w:pPr>
        <w:pStyle w:val="Intertitre"/>
      </w:pPr>
      <w:r>
        <w:t xml:space="preserve">Clause optionnelle : EXÉCUTION PROVISOIRE DE DROIT</w:t>
      </w:r>
    </w:p>
    <w:p>
      <w:pPr>
        <w:pStyle w:val="Corps"/>
      </w:pPr>
      <w:r>
        <w:t xml:space="preserve">Constater le régime d'exécution provisoire exposé dans [Exécution provisoire]. Ce chef identifie la décision concernée et les limites légales applicables, sans demander au tribunal ce qui relève d'une procédure d'arrêt devant le premier président après le jugement.</w:t>
      </w:r>
    </w:p>
    <w:p>
      <w:pPr>
        <w:pStyle w:val="Intertitre"/>
      </w:pPr>
      <w:r>
        <w:t xml:space="preserve">Clause optionnelle : ÉCARTEMENT DE L'EXÉCUTION PROVISOIRE</w:t>
      </w:r>
    </w:p>
    <w:p>
      <w:pPr>
        <w:pStyle w:val="Corps"/>
      </w:pPr>
      <w:r>
        <w:t xml:space="preserve">Écarter en tout ou partie l'exécution provisoire de droit selon [Exécution provisoire]. Le chef précise les dispositions concernées et expose en quoi l'exécution serait incompatible avec la nature de l'affaire, dans les limites du pouvoir du juge de première instance.</w:t>
      </w:r>
    </w:p>
    <w:p>
      <w:pPr>
        <w:pStyle w:val="Intertitre"/>
      </w:pPr>
      <w:r>
        <w:t xml:space="preserve">Clause optionnelle : GARANTIE DE RESTITUTION OU DE RÉPARATION</w:t>
      </w:r>
    </w:p>
    <w:p>
      <w:pPr>
        <w:pStyle w:val="Corps"/>
      </w:pPr>
      <w:r>
        <w:t xml:space="preserve">À défaut d'écartement, subordonner l'exécution provisoire à la garantie définie dans [Exécution provisoire]. Le dispositif précise sa nature réelle ou personnelle, son montant, son délai de constitution et son aptitude à couvrir les restitutions ou réparations susceptibles de résulter de l'exécution.</w:t>
      </w:r>
    </w:p>
    <w:p>
      <w:pPr>
        <w:pStyle w:val="Intertitre"/>
      </w:pPr>
      <w:r>
        <w:t xml:space="preserve">Clause optionnelle : ARTICLE 700</w:t>
      </w:r>
    </w:p>
    <w:p>
      <w:pPr>
        <w:pStyle w:val="Corps"/>
      </w:pPr>
      <w:r>
        <w:t xml:space="preserve">Condamner la demanderesse à payer [Montant demandé au titre de l'article 700] au titre des frais exposés et non compris dans les dépens, selon [Justification de l'article 700]. Le montant sollicité est justifié par les diligences et débours établis, sous réserve de l'appréciation de l'équité et de la situation économique.</w:t>
      </w:r>
    </w:p>
    <w:p>
      <w:pPr>
        <w:pStyle w:val="Intertitre"/>
      </w:pPr>
      <w:r>
        <w:t xml:space="preserve">Clause optionnelle : DÉPENS</w:t>
      </w:r>
    </w:p>
    <w:p>
      <w:pPr>
        <w:pStyle w:val="Corps"/>
      </w:pPr>
      <w:r>
        <w:t xml:space="preserve">Condamner la demanderesse aux dépens selon [Demande relative aux dépens]. Le chef vise les frais entrant dans leur définition légale, tient compte de l'issue sollicitée du litige et distingue cette condamnation de la demande présentée au titre des frais irrépétibles.</w:t>
      </w:r>
    </w:p>
    <w:p>
      <w:pPr>
        <w:pStyle w:val="Intertitre"/>
      </w:pPr>
      <w:r>
        <w:t xml:space="preserve">BORDEREAU DE PIÈCES</w:t>
      </w:r>
    </w:p>
    <w:p>
      <w:pPr>
        <w:pStyle w:val="Corps"/>
      </w:pPr>
      <w:r>
        <w:t xml:space="preserve">Le bordereau [Bordereau de pièces] reprend les pièces citées au soutien de chaque défense et demande propre.</w:t>
      </w:r>
    </w:p>
    <w:p>
      <w:pPr>
        <w:pStyle w:val="Corps"/>
      </w:pPr>
      <w:r>
        <w:t xml:space="preserve">Le bordereau suit l'ordre des écritures et précise, pour chaque pièce, son auteur, sa date, son objet et le moyen auquel elle se rattache. Les doublons, versions incomplètes et documents non communiqués sont écartés. Les pièces adverses discutées sont citées sous leur numéro d'origine afin que le juge puisse suivre la contradiction sans reconstituer la correspondance entre deux numérotations.</w:t>
      </w:r>
    </w:p>
    <w:p>
      <w:pPr>
        <w:pStyle w:val="Corps"/>
      </w:pPr>
      <w:r>
        <w:t xml:space="preserve">Le bordereau est actualisé avec chaque jeu d'écritures et la version définitive ne contient aucun renvoi vers une pièce retirée ou non communiquée.</w:t>
      </w:r>
    </w:p>
    <w:p>
      <w:pPr>
        <w:pStyle w:val="Intertitre"/>
      </w:pPr>
      <w:r>
        <w:t xml:space="preserve">Clause optionnelle : SOUS TOUTES RÉSERVES</w:t>
      </w:r>
    </w:p>
    <w:p>
      <w:pPr>
        <w:pStyle w:val="Corps"/>
      </w:pPr>
      <w:r>
        <w:t xml:space="preserve">Sous toutes réserves expressément maintenues. La juridiction n'est saisie que des prétentions formulées dans le dispositif qui précède et soutenues dans la discussion. Aucune formule de clôture ne complète, n'élargit ou ne remplace un chef qui aurait dû être énoncé explicitement.</w:t>
      </w:r>
    </w:p>
    <w:p>
      <w:pPr>
        <w:pStyle w:val="Intertitre"/>
      </w:pPr>
      <w:r>
        <w:t xml:space="preserve">Clause optionnelle : SIGNATURE DU CONSEIL — VERSION PRÊTE À NOTIFIER</w:t>
      </w:r>
    </w:p>
    <w:p>
      <w:pPr>
        <w:pStyle w:val="Corps"/>
      </w:pPr>
      <w:r>
        <w:t xml:space="preserve">La version arrêtée et destinée à la notification porte la signature de [Signature du conseil]. Cette signature atteste l'identité du conseil et la version approuvée, sans affirmer que la communication contradictoire ou le dépôt ont déjà été accomplis.</w:t>
      </w:r>
    </w:p>
    <w:p>
      <w:pPr>
        <w:pStyle w:val="Intertitre"/>
      </w:pPr>
      <w:r>
        <w:t xml:space="preserve">Clause optionnelle : SIGNATURE DU CONSEIL — VERSION NOTIFIÉE</w:t>
      </w:r>
    </w:p>
    <w:p>
      <w:pPr>
        <w:pStyle w:val="Corps"/>
      </w:pPr>
      <w:r>
        <w:t xml:space="preserve">La version notifiée porte la signature de [Signature du conseil]. Elle correspond à la preuve de notification conservée au dossier ; la signature ne vaut toutefois ni accusé de réception par chaque destinataire ni preuve de dépôt auprès de la juridiction.</w:t>
      </w:r>
    </w:p>
    <w:p>
      <w:pPr>
        <w:pStyle w:val="Intertitre"/>
      </w:pPr>
      <w:r>
        <w:t xml:space="preserve">Clause optionnelle : SIGNATURE DU CONSEIL — VERSION DÉPOSÉE</w:t>
      </w:r>
    </w:p>
    <w:p>
      <w:pPr>
        <w:pStyle w:val="Corps"/>
      </w:pPr>
      <w:r>
        <w:t xml:space="preserve">La version notifiée puis déposée porte la signature de [Signature du conseil]. Son empreinte documentaire, sa date et son contenu correspondent aux preuves de communication et de dépôt, sous réserve de toute régularisation ultérieure expressément identifiée.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