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PROTOCOLE D'ACCORD TRANSACTIONNEL</w:t>
      </w:r>
    </w:p>
    <w:p>
      <w:pPr>
        <w:pStyle w:val="Intertitre"/>
      </w:pPr>
      <w:r>
        <w:t xml:space="preserve">Première partie</w:t>
      </w:r>
    </w:p>
    <w:p>
      <w:pPr>
        <w:pStyle w:val="Corps"/>
      </w:pPr>
      <w:r>
        <w:t xml:space="preserve">La première partie est [Nom partie a], domiciliée ou établie à [Adresse partie a]. Sa qualité, son identité et, lorsqu'elle agit par représentant, le pouvoir de disposer des droits compris dans l'accord sont établis par [Preuve qualité partie a]. La désignation reprend les informations vérifiées et précise la qualité dans laquelle elle transige. Elle garantit l'exactitude de cette qualité et informe l'autre partie de toute restriction susceptible d'affecter la portée de son engagement.</w:t>
      </w:r>
    </w:p>
    <w:p>
      <w:pPr>
        <w:pStyle w:val="Intertitre"/>
      </w:pPr>
      <w:r>
        <w:t xml:space="preserve">Seconde partie</w:t>
      </w:r>
    </w:p>
    <w:p>
      <w:pPr>
        <w:pStyle w:val="Corps"/>
      </w:pPr>
      <w:r>
        <w:t xml:space="preserve">La seconde partie est [Nom partie b], domiciliée ou établie à [Adresse partie b]. Sa qualité, son identité et, lorsqu'elle agit par représentant, son habilitation résultent de [Preuve qualité partie b]. Les parties sont désignées séparément afin que l'effet de la transaction ne soit étendu à aucune personne non signataire. Elle garantit l'exactitude de cette qualité et informe l'autre partie de toute restriction susceptible d'affecter la portée de son engagement.</w:t>
      </w:r>
    </w:p>
    <w:p>
      <w:pPr>
        <w:pStyle w:val="Intertitre"/>
      </w:pPr>
      <w:r>
        <w:t xml:space="preserve">Capacité et pouvoirs</w:t>
      </w:r>
    </w:p>
    <w:p>
      <w:pPr>
        <w:pStyle w:val="Corps"/>
      </w:pPr>
      <w:r>
        <w:t xml:space="preserve">Chaque partie déclare pouvoir disposer des droits faisant l'objet du protocole et justifie sa capacité et ses pouvoirs par [Justificatifs capacite pouvoirs]. Le rédacteur contrôle la disponibilité des droits, l'absence d'autorisation manquante et les règles propres à une personne protégée, une personne morale, une procédure collective ou un droit soumis à homologation. Lorsque l'accord touche un bien commun, une succession, un mandat social ou une créance cédée, les consentements et justificatifs correspondants sont individualisés.</w:t>
      </w:r>
    </w:p>
    <w:p>
      <w:pPr>
        <w:pStyle w:val="Intertitre"/>
      </w:pPr>
      <w:r>
        <w:t xml:space="preserve">La contestation est-elle née ou à naître ? — choisir une seule variante</w:t>
      </w:r>
    </w:p>
    <w:p>
      <w:pPr>
        <w:pStyle w:val="Variante"/>
      </w:pPr>
      <w:r>
        <w:t xml:space="preserve">Variante : Contestation née</w:t>
      </w:r>
    </w:p>
    <w:p>
      <w:pPr>
        <w:pStyle w:val="Corps"/>
      </w:pPr>
      <w:r>
        <w:t xml:space="preserve">Un différend est né entre les parties au sujet de [Description différend ne]. Leurs prétentions, contestations et arguments respectifs sont résumés dans [Positions parties] sans reconnaissance du bien-fondé de la position adverse. Les faits, contrats, échanges et procédures utiles sont datés pour délimiter précisément la contestation à laquelle les concessions apportent une solution.</w:t>
      </w:r>
    </w:p>
    <w:p>
      <w:pPr>
        <w:pStyle w:val="Variante"/>
      </w:pPr>
      <w:r>
        <w:t xml:space="preserve">Variante : Contestation à naître</w:t>
      </w:r>
    </w:p>
    <w:p>
      <w:pPr>
        <w:pStyle w:val="Corps"/>
      </w:pPr>
      <w:r>
        <w:t xml:space="preserve">Les parties identifient un risque déterminé de contestation décrit par [Description risque contestation], trouvant son origine dans [Origine risque]. Le protocole ne vise pas un risque abstrait ou l'ensemble indifférencié de leurs relations. Les circonstances susceptibles de faire naître le litige et les positions anticipées sont exposées assez précisément pour délimiter l'objet prévenu.</w:t>
      </w:r>
    </w:p>
    <w:p>
      <w:pPr>
        <w:pStyle w:val="Intertitre"/>
      </w:pPr>
      <w:r>
        <w:t xml:space="preserve">Concession de la première partie</w:t>
      </w:r>
    </w:p>
    <w:p>
      <w:pPr>
        <w:pStyle w:val="Corps"/>
      </w:pPr>
      <w:r>
        <w:t xml:space="preserve">Afin de mettre fin ou de prévenir le différend, la première partie consent [Concession partie a] selon [modalités concession partie a]. Sa concession est déterminée, exécutable et appréciée au regard des prétentions qu'elle abandonne ou aménage. Les délais, conditions et justificatifs nécessaires à son exécution sont explicités sans dépendre de sa seule volonté ultérieure. Si la concession consiste en une renonciation, son objet est formulé positivement et ne se déduit pas d'une clause générale sans lien avec le différend.</w:t>
      </w:r>
    </w:p>
    <w:p>
      <w:pPr>
        <w:pStyle w:val="Intertitre"/>
      </w:pPr>
      <w:r>
        <w:t xml:space="preserve">Concession de la seconde partie</w:t>
      </w:r>
    </w:p>
    <w:p>
      <w:pPr>
        <w:pStyle w:val="Corps"/>
      </w:pPr>
      <w:r>
        <w:t xml:space="preserve">En contrepartie, la seconde partie consent [Concession partie b] selon [modalités concession partie b]. Cette concession est distincte d'une simple exécution de ce qu'elle reconnaîtrait déjà devoir et participe à l'économie globale du protocole. Ses modalités, échéances et preuves d'exécution sont cohérentes avec celles de la première partie. Si la concession consiste en une obligation non monétaire, son résultat attendu, son bénéficiaire et le moyen d'en constater l'exécution sont définis.</w:t>
      </w:r>
    </w:p>
    <w:p>
      <w:pPr>
        <w:pStyle w:val="Intertitre"/>
      </w:pPr>
      <w:r>
        <w:t xml:space="preserve">Réciprocité</w:t>
      </w:r>
    </w:p>
    <w:p>
      <w:pPr>
        <w:pStyle w:val="Corps"/>
      </w:pPr>
      <w:r>
        <w:t xml:space="preserve">Le caractère réel et réciproque des concessions, apprécié sans exiger une équivalence arithmétique, est exposé dans [Analyse reciprocite concessions]. Les parties déclarent avoir évalué leurs aléas, coûts, délais et risques respectifs. Aucune concession n'est dissimulée dans une annexe ou contredite par une réserve générale qui viderait l'accord de sa substance. Le préambule et les clauses opérationnelles sont relus ensemble afin qu'aucune partie ne paraisse renoncer à tout alors que l'autre ne consentirait rien de déterminé.</w:t>
      </w:r>
    </w:p>
    <w:p>
      <w:pPr>
        <w:pStyle w:val="Intertitre"/>
      </w:pPr>
      <w:r>
        <w:t xml:space="preserve">Paiement</w:t>
      </w:r>
    </w:p>
    <w:p>
      <w:pPr>
        <w:pStyle w:val="Corps"/>
      </w:pPr>
      <w:r>
        <w:t xml:space="preserve">Les sommes éventuellement dues, leur nature, leur montant, leur exigibilité, le compte destinataire et la preuve attendue sont définis dans [Conditions paiement transaction]. Le traitement fiscal, social ou comptable n'est affirmé que s'il a été vérifié. Le paiement ne vaut exécution complète que dans la mesure expressément prévue par l'ensemble des concessions. Les éventuels intérêts, frais, retenues, compensation ou conditions de restitution sont traités expressément plutôt que laissés à une interprétation postérieure.</w:t>
      </w:r>
    </w:p>
    <w:p>
      <w:pPr>
        <w:pStyle w:val="Intertitre"/>
      </w:pPr>
      <w:r>
        <w:t xml:space="preserve">Clause optionnelle : Échelonnement</w:t>
      </w:r>
    </w:p>
    <w:p>
      <w:pPr>
        <w:pStyle w:val="Corps"/>
      </w:pPr>
      <w:r>
        <w:t xml:space="preserve">Lorsque le paiement est fractionné, les échéances figurent dans [Echeancier transaction]. Les conséquences proportionnées d'un retard, d'un paiement partiel ou d'une défaillance sont prévues dans [Consequences retard transaction], avec mise en demeure et délai de régularisation lorsqu'ils sont convenus. La clause distingue exigibilité du solde, résolution et reprise d'une procédure suspendue.</w:t>
      </w:r>
    </w:p>
    <w:p>
      <w:pPr>
        <w:pStyle w:val="Intertitre"/>
      </w:pPr>
      <w:r>
        <w:t xml:space="preserve">Périmètre de l'accord</w:t>
      </w:r>
    </w:p>
    <w:p>
      <w:pPr>
        <w:pStyle w:val="Corps"/>
      </w:pPr>
      <w:r>
        <w:t xml:space="preserve">Les contestations et prétentions définitivement réglées sont énumérées dans [Contestations reglees]. Les droits, demandes, périodes ou tiers qui demeurent hors accord sont expressément réservés dans [Droits reserves]. L'effet extinctif ne repose pas sur une formule illimitée : chaque renonciation est rapprochée du différend exposé et des concessions consenties. Les annexes, contrats ou périodes concernés sont identifiés par leur date et leur objet, ce qui permet de distinguer les relations maintenues de celles soldées.</w:t>
      </w:r>
    </w:p>
    <w:p>
      <w:pPr>
        <w:pStyle w:val="Intertitre"/>
      </w:pPr>
      <w:r>
        <w:t xml:space="preserve">Clause optionnelle : Instances en cours</w:t>
      </w:r>
    </w:p>
    <w:p>
      <w:pPr>
        <w:pStyle w:val="Corps"/>
      </w:pPr>
      <w:r>
        <w:t xml:space="preserve">Les instances, expertises, réclamations ou mesures en cours et les actes nécessaires pour les suspendre, radier, désister ou constater l'accord sont [Mesures instances en cours]. Le calendrier, la partie responsable, les frais et les justificatifs sont [Calendrier mesures procedurales]. Aucun désistement n'est accompli avant l'étape d'exécution à laquelle les parties l'ont subordonné.</w:t>
      </w:r>
    </w:p>
    <w:p>
      <w:pPr>
        <w:pStyle w:val="Intertitre"/>
      </w:pPr>
      <w:r>
        <w:t xml:space="preserve">Clause optionnelle : Confidentialité</w:t>
      </w:r>
    </w:p>
    <w:p>
      <w:pPr>
        <w:pStyle w:val="Corps"/>
      </w:pPr>
      <w:r>
        <w:t xml:space="preserve">La confidentialité convenue porte exclusivement sur [périmètre confidentialite]. Elle n'interdit pas les communications nécessaires aux conseils, assureurs, financeurs, auditeurs, autorités ou juridictions, ni l'exécution d'une obligation légale, fiscale ou sociale. Sa durée, ses destinataires autorisés et les conséquences d'une violation sont interprétés sans empêcher la preuve ou l'exécution du protocole.</w:t>
      </w:r>
    </w:p>
    <w:p>
      <w:pPr>
        <w:pStyle w:val="Intertitre"/>
      </w:pPr>
      <w:r>
        <w:t xml:space="preserve">Exécution et notifications</w:t>
      </w:r>
    </w:p>
    <w:p>
      <w:pPr>
        <w:pStyle w:val="Corps"/>
      </w:pPr>
      <w:r>
        <w:t xml:space="preserve">Les échanges relatifs à l'exécution, les mises en demeure et les justificatifs suivent [Procedure execution transaction] aux adresses [Adresses notifications]. Chaque partie signale un changement de coordonnées. Le protocole précise l'ordre d'exécution, les délais de remède et le traitement des difficultés sans créer une renonciation tacite par la seule tolérance d'un retard. Les notifications sont réputées reçues selon un mécanisme défini et compatible avec le canal retenu; aucune preuve de réception n'est présumée par le moteur.</w:t>
      </w:r>
    </w:p>
    <w:p>
      <w:pPr>
        <w:pStyle w:val="Intertitre"/>
      </w:pPr>
      <w:r>
        <w:t xml:space="preserve">Effet de la transaction</w:t>
      </w:r>
    </w:p>
    <w:p>
      <w:pPr>
        <w:pStyle w:val="Corps"/>
      </w:pPr>
      <w:r>
        <w:t xml:space="preserve">Conformément au régime de la transaction, l'accord règle entre ses signataires le différend ayant le même objet que celui décrit au protocole. Son effet extinctif reste limité aux prétentions comprises dans ce périmètre et ne couvre ni des droits étrangers au litige ni des faits futurs non envisagés. L'autorité attachée à l'accord suppose sa validité et son exécution selon ses stipulations. Les parties conservent la possibilité d'en demander l'exécution ou d'invoquer les conséquences prévues en cas d'inexécution, dans les limites légales.</w:t>
      </w:r>
    </w:p>
    <w:p>
      <w:pPr>
        <w:pStyle w:val="Intertitre"/>
      </w:pPr>
      <w:r>
        <w:t xml:space="preserve">Signature</w:t>
      </w:r>
    </w:p>
    <w:p>
      <w:pPr>
        <w:pStyle w:val="Corps"/>
      </w:pPr>
      <w:r>
        <w:t xml:space="preserve">Fait à [Lieu signature], le [Date signature]. Le protocole est signé par [Nom signataire], en qualité de [qualité signataire], dont les pouvoirs sont établis par [Preuve pouvoir signataire]. Chaque partie reçoit un exemplaire identique, annexes comprises, après avoir pu consulter son conseil et vérifier la concordance des concessions, réserves et actes procéduraux. Une signature électronique n'est utilisée que si le procédé retenu permet d'identifier le signataire et de garantir l'intégrité de l'acte selon le cadre applicable.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