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INTRODUCTIVE D'INSTANCE SANS REPRÉSENTATION OBLIGATOIRE</w:t>
      </w:r>
    </w:p>
    <w:p>
      <w:pPr>
        <w:pStyle w:val="Intertitre"/>
      </w:pPr>
      <w:r>
        <w:t xml:space="preserve">Juridiction saisie</w:t>
      </w:r>
    </w:p>
    <w:p>
      <w:pPr>
        <w:pStyle w:val="Corps"/>
      </w:pPr>
      <w:r>
        <w:t xml:space="preserve">La présente requête est remise à [Nom de la juridiction] afin qu'elle statue sur les prétentions exposées ci-après. La juridiction désignée correspond au domaine du litige et au mode de saisine retenu. Elle est saisie selon la voie procédurale expressément autorisée pour la famille de litige retenue. Le numéro de chambre, les coordonnées du greffe et les modalités de convocation ne sont ajoutés qu'à partir d'une information officielle confirmée.</w:t>
      </w:r>
    </w:p>
    <w:p>
      <w:pPr>
        <w:pStyle w:val="Intertitre"/>
      </w:pPr>
      <w:r>
        <w:t xml:space="preserve">Compétence matérielle</w:t>
      </w:r>
    </w:p>
    <w:p>
      <w:pPr>
        <w:pStyle w:val="Corps"/>
      </w:pPr>
      <w:r>
        <w:t xml:space="preserve">La compétence matérielle de la juridiction résulte de [Compétence]. Cette base est rapprochée de la nature exacte de chaque demande et des règles spéciales éventuellement applicables. Le requérant distingue la compétence d'attribution de la recevabilité de la requête et du régime de représentation. Toute compétence spéciale ou exclusion est exposée séparément afin d'éviter qu'une qualification générique masque la juridiction réellement compétente.</w:t>
      </w:r>
    </w:p>
    <w:p>
      <w:pPr>
        <w:pStyle w:val="Intertitre"/>
      </w:pPr>
      <w:r>
        <w:t xml:space="preserve">Compétence territoriale</w:t>
      </w:r>
    </w:p>
    <w:p>
      <w:pPr>
        <w:pStyle w:val="Corps"/>
      </w:pPr>
      <w:r>
        <w:t xml:space="preserve">Les liens territoriaux justifiant la saisine sont les suivants : [Liens territoriaux]. Ils permettent d'identifier la juridiction territorialement compétente sans déduire une adresse ou un lieu absent du dossier. Le domicile du défendeur, le lieu d'exécution et toute clause attributive sont examinés dans leur portée exacte. En présence de plusieurs rattachements, le choix retenu est expliqué et documenté plutôt que déduit du seul intérêt pratique du requérant.</w:t>
      </w:r>
    </w:p>
    <w:p>
      <w:pPr>
        <w:pStyle w:val="Intertitre"/>
      </w:pPr>
      <w:r>
        <w:t xml:space="preserve">Absence de représentation obligatoire</w:t>
      </w:r>
    </w:p>
    <w:p>
      <w:pPr>
        <w:pStyle w:val="Corps"/>
      </w:pPr>
      <w:r>
        <w:t xml:space="preserve">Le régime de représentation applicable résulte de [Régime de représentation]. Le requérant expose pourquoi la constitution d’avocat n’est pas obligatoire dans cette matière et pour ces demandes, puis identifie les personnes habilitées à assister ou représenter une partie. Cette vérification reste distincte de la capacité d’agir et du choix de la voie de saisine.</w:t>
      </w:r>
    </w:p>
    <w:p>
      <w:pPr>
        <w:pStyle w:val="Intertitre"/>
      </w:pPr>
      <w:r>
        <w:t xml:space="preserve">Identité du requérant</w:t>
      </w:r>
    </w:p>
    <w:p>
      <w:pPr>
        <w:pStyle w:val="Corps"/>
      </w:pPr>
      <w:r>
        <w:t xml:space="preserve">La requête est présentée par [Nom ou dénomination du demandeur], agissant en qualité de [Qualité du demandeur], domicilié ou établi [Adresse du demandeur]. Ses coordonnées utiles à la procédure sont [Personnes-ressources du demandeur]. Cette désignation reprend une pièce d'identité ou un registre à jour et distingue le titulaire du droit de son représentant. Lorsqu'une personne agit pour autrui, la qualité invoquée et le pouvoir correspondant sont établis par une pièce identifiée.</w:t>
      </w:r>
    </w:p>
    <w:p>
      <w:pPr>
        <w:pStyle w:val="Intertitre"/>
      </w:pPr>
      <w:r>
        <w:t xml:space="preserve">Identité du défendeur</w:t>
      </w:r>
    </w:p>
    <w:p>
      <w:pPr>
        <w:pStyle w:val="Corps"/>
      </w:pPr>
      <w:r>
        <w:t xml:space="preserve">La demande est dirigée contre [Nom du défendeur], pris en qualité de [Qualité du défendeur], domicilié ou établi [Adresse du défendeur]. Cette désignation correspond à la personne contre laquelle les prétentions sont formées. L'adresse est contrôlée avant le dépôt afin de permettre une convocation utile. Une enseigne, un établissement ou un mandataire ne remplace pas la personne physique ou morale juridiquement tenue, sauf fondement expressément établi.</w:t>
      </w:r>
    </w:p>
    <w:p>
      <w:pPr>
        <w:pStyle w:val="Intertitre"/>
      </w:pPr>
      <w:r>
        <w:t xml:space="preserve">Clause optionnelle : Requête conjointe</w:t>
      </w:r>
    </w:p>
    <w:p>
      <w:pPr>
        <w:pStyle w:val="Corps"/>
      </w:pPr>
      <w:r>
        <w:t xml:space="preserve">Les parties soumettent conjointement au juge les points d'accord suivants : [Questions convenues]. Les points restant en désaccord sont circonscrits comme suit : [Questions contestées]. La requête conjointe précise les prétentions respectives, les moyens de chaque partie et les points soumis à l'arbitrage du juge. Elle ne transforme pas un accord partiel en renonciation aux demandes qui demeurent expressément contestées.</w:t>
      </w:r>
    </w:p>
    <w:p>
      <w:pPr>
        <w:pStyle w:val="Intertitre"/>
      </w:pPr>
      <w:r>
        <w:t xml:space="preserve">Délimitation du contradictoire</w:t>
      </w:r>
    </w:p>
    <w:p>
      <w:pPr>
        <w:pStyle w:val="Corps"/>
      </w:pPr>
      <w:r>
        <w:t xml:space="preserve">La requête identifie les parties concernées et délimite l'objet du litige. La convocation et la communication ultérieure permettront à chacune de discuter les prétentions et les pièces produites. Les coordonnées de convocation et les documents communiqués permettent au défendeur de préparer sa réponse. Aucune allégation déterminante ne doit rester dissociée de la demande qu'elle soutient ni de la pièce sur laquelle elle repose.</w:t>
      </w:r>
    </w:p>
    <w:p>
      <w:pPr>
        <w:pStyle w:val="Intertitre"/>
      </w:pPr>
      <w:r>
        <w:t xml:space="preserve">Capacité et pouvoir du requérant</w:t>
      </w:r>
    </w:p>
    <w:p>
      <w:pPr>
        <w:pStyle w:val="Corps"/>
      </w:pPr>
      <w:r>
        <w:t xml:space="preserve">La capacité d’agir et le pouvoir du requérant ou de son représentant résultent de [Pouvoir du requérant]. La pièce produite établit la qualité invoquée à la date du dépôt et son périmètre couvre les demandes formulées. Une cession, succession, tutelle, mandat ou représentation de personne morale est exposée sans présumer la transmission du droit d’action.</w:t>
      </w:r>
    </w:p>
    <w:p>
      <w:pPr>
        <w:pStyle w:val="Intertitre"/>
      </w:pPr>
      <w:r>
        <w:t xml:space="preserve">Vérification du défendeur</w:t>
      </w:r>
    </w:p>
    <w:p>
      <w:pPr>
        <w:pStyle w:val="Corps"/>
      </w:pPr>
      <w:r>
        <w:t xml:space="preserve">L’identité, la qualité et l’adresse du défendeur sont vérifiées par [Source d’identification du défendeur]. Cette source permet de rapprocher la personne convoquée de celle à laquelle le manquement est imputé. Toute divergence entre contrat, correspondance, registre ou domicile est résolue avant dépôt pour éviter une convocation adressée à une personne ou à un lieu inadéquat.</w:t>
      </w:r>
    </w:p>
    <w:p>
      <w:pPr>
        <w:pStyle w:val="Intertitre"/>
      </w:pPr>
      <w:r>
        <w:t xml:space="preserve">Chronologie des faits</w:t>
      </w:r>
    </w:p>
    <w:p>
      <w:pPr>
        <w:pStyle w:val="Corps"/>
      </w:pPr>
      <w:r>
        <w:t xml:space="preserve">Les faits utiles se sont déroulés selon la chronologie suivante : [Chronologie des faits]. Seuls les événements rattachés aux demandes et étayés par une source identifiée sont soumis au juge. Chaque entrée indique sa date, son auteur, son objet, la position adverse éventuelle et la pièce correspondante. Les faits admis, contestés ou seulement allégués sont distingués pour que la juridiction identifie immédiatement le périmètre réel du désaccord.</w:t>
      </w:r>
    </w:p>
    <w:p>
      <w:pPr>
        <w:pStyle w:val="Intertitre"/>
      </w:pPr>
      <w:r>
        <w:t xml:space="preserve">Correspondance entre faits et preuves</w:t>
      </w:r>
    </w:p>
    <w:p>
      <w:pPr>
        <w:pStyle w:val="Corps"/>
      </w:pPr>
      <w:r>
        <w:t xml:space="preserve">La correspondance entre les faits allégués et les pièces produites est la suivante : [Cartographie des données probantes]. Chaque élément probatoire est invoqué pour un fait déterminé et non comme référence générale. La numérotation utilisée dans le texte concorde avec le bordereau et avec les fichiers effectivement déposés. Les documents incomplets, illisibles ou non datés sont signalés et ne sont pas présentés comme établissant davantage que leur contenu vérifiable.</w:t>
      </w:r>
    </w:p>
    <w:p>
      <w:pPr>
        <w:pStyle w:val="Intertitre"/>
      </w:pPr>
      <w:r>
        <w:t xml:space="preserve">Démarches antérieures</w:t>
      </w:r>
    </w:p>
    <w:p>
      <w:pPr>
        <w:pStyle w:val="Corps"/>
      </w:pPr>
      <w:r>
        <w:t xml:space="preserve">Les démarches accomplies avant la saisine sont exposées comme suit : [Étapes antérieures]. Elles rendent compte du préalable amiable applicable ou de la raison pour laquelle ce préalable n'était pas exigé. Les courriers, échanges et rendez-vous sont datés et reliés à leur justificatif. Lorsqu'une dispense de tentative amiable est invoquée, son fondement et les circonstances concrètes sont exposés sans présumer que la seule urgence ou l'absence de réponse suffit.</w:t>
      </w:r>
    </w:p>
    <w:p>
      <w:pPr>
        <w:pStyle w:val="Intertitre"/>
      </w:pPr>
      <w:r>
        <w:t xml:space="preserve">Naissance du différend</w:t>
      </w:r>
    </w:p>
    <w:p>
      <w:pPr>
        <w:pStyle w:val="Corps"/>
      </w:pPr>
      <w:r>
        <w:t xml:space="preserve">Le différend résulte de l'enchaînement factuel exposé et de l'absence de solution issue des démarches antérieures. Son périmètre est limité aux prétentions formulées dans la présente requête. Les événements déclencheurs, la première contestation et l'échec des échanges sont identifiés. Le récit évite les appréciations générales et permet de comprendre, avant la discussion juridique, ce que chaque partie demande, reconnaît ou refuse.</w:t>
      </w:r>
    </w:p>
    <w:p>
      <w:pPr>
        <w:pStyle w:val="Intertitre"/>
      </w:pPr>
      <w:r>
        <w:t xml:space="preserve">Famille de litige — choisir une seule variante</w:t>
      </w:r>
    </w:p>
    <w:p>
      <w:pPr>
        <w:pStyle w:val="Variante"/>
      </w:pPr>
      <w:r>
        <w:t xml:space="preserve">Variante : Route - obligation civile ou contractuelle</w:t>
      </w:r>
    </w:p>
    <w:p>
      <w:pPr>
        <w:pStyle w:val="Corps"/>
      </w:pPr>
      <w:r>
        <w:t xml:space="preserve">Le litige relève d’une obligation civile ou contractuelle dans le périmètre suivant : [Périmètre factuel de la route]. Le fondement substantiel invoqué est [Fondement substantiel de la route]. La requête expose la formation de l’obligation, son exécution et le manquement allégué, tout en vérifiant séparément que cette matière autorise une saisine sans représentation obligatoire par la voie retenue.</w:t>
      </w:r>
    </w:p>
    <w:p>
      <w:pPr>
        <w:pStyle w:val="Variante"/>
      </w:pPr>
      <w:r>
        <w:t xml:space="preserve">Variante : Route - litige de consommation</w:t>
      </w:r>
    </w:p>
    <w:p>
      <w:pPr>
        <w:pStyle w:val="Corps"/>
      </w:pPr>
      <w:r>
        <w:t xml:space="preserve">Le litige de consommation résulte de [Périmètre factuel de la route] et s’appuie sur [Fondement substantiel de la route]. Le requérant identifie sa qualité, celle du professionnel, le bien ou service concerné, les informations ou garanties invoquées et les démarches préalables. La compétence et le mode de saisine demeurent contrôlés selon la demande concrète, sans déduire le régime de la seule présence d’un consommateur.</w:t>
      </w:r>
    </w:p>
    <w:p>
      <w:pPr>
        <w:pStyle w:val="Variante"/>
      </w:pPr>
      <w:r>
        <w:t xml:space="preserve">Variante : Route - bail d’habitation</w:t>
      </w:r>
    </w:p>
    <w:p>
      <w:pPr>
        <w:pStyle w:val="Corps"/>
      </w:pPr>
      <w:r>
        <w:t xml:space="preserve">Le litige locatif porte sur [Périmètre factuel de la route] et le fondement substantiel vérifié est [Fondement substantiel de la route]. La requête distingue bail, état des lieux, comptes, courriers et obligations respectives. Les formalités propres au chef demandé, les préalables éventuels et la juridiction territorialement compétente sont établis avant de retenir cette route.</w:t>
      </w:r>
    </w:p>
    <w:p>
      <w:pPr>
        <w:pStyle w:val="Variante"/>
      </w:pPr>
      <w:r>
        <w:t xml:space="preserve">Variante : Route - voisinage ou propriété</w:t>
      </w:r>
    </w:p>
    <w:p>
      <w:pPr>
        <w:pStyle w:val="Corps"/>
      </w:pPr>
      <w:r>
        <w:t xml:space="preserve">Le différend de voisinage ou de propriété est délimité par [Périmètre factuel de la route] et les règles invoquées sont [Fondement substantiel de la route]. Les titres, plans, constats, dates d’apparition et démarches amiables sont individualisés. Le modèle n’est utilisé que si la demande relève effectivement d’une procédure sans représentation obligatoire et si le préalable applicable est accompli ou valablement écarté.</w:t>
      </w:r>
    </w:p>
    <w:p>
      <w:pPr>
        <w:pStyle w:val="Intertitre"/>
      </w:pPr>
      <w:r>
        <w:t xml:space="preserve">Origine de la relation</w:t>
      </w:r>
    </w:p>
    <w:p>
      <w:pPr>
        <w:pStyle w:val="Corps"/>
      </w:pPr>
      <w:r>
        <w:t xml:space="preserve">La relation entre les parties trouve son origine dans [Origine de la relation litigieuse]. Le requérant en précise la date, l’objet, les obligations principales et la pièce constitutive. Cette présentation permet de distinguer le droit invoqué des échanges postérieurs et d’identifier le régime substantiel réellement applicable avant d’exposer les inexécutions alléguées.</w:t>
      </w:r>
    </w:p>
    <w:p>
      <w:pPr>
        <w:pStyle w:val="Intertitre"/>
      </w:pPr>
      <w:r>
        <w:t xml:space="preserve">Exécution du requérant</w:t>
      </w:r>
    </w:p>
    <w:p>
      <w:pPr>
        <w:pStyle w:val="Corps"/>
      </w:pPr>
      <w:r>
        <w:t xml:space="preserve">Le requérant a exécuté ses obligations de la manière suivante : [Exécution du requérant]. Les prestations, paiements, livraisons ou diligences sont datés et rattachés à leurs preuves. Les réserves et exécutions partielles sont indiquées loyalement afin de ne pas présenter comme pleinement acquis un fait qui conditionne la demande ou demeure discuté.</w:t>
      </w:r>
    </w:p>
    <w:p>
      <w:pPr>
        <w:pStyle w:val="Intertitre"/>
      </w:pPr>
      <w:r>
        <w:t xml:space="preserve">Manquement reproché</w:t>
      </w:r>
    </w:p>
    <w:p>
      <w:pPr>
        <w:pStyle w:val="Corps"/>
      </w:pPr>
      <w:r>
        <w:t xml:space="preserve">Le manquement imputé au défendeur consiste en [Manquement du défendeur]. Le texte identifie l’obligation concernée, son échéance, le comportement constaté, la première réclamation et ses conséquences. Il distingue retard, refus, exécution imparfaite et simple désaccord pour que la qualification juridique repose sur des faits suffisamment précis.</w:t>
      </w:r>
    </w:p>
    <w:p>
      <w:pPr>
        <w:pStyle w:val="Intertitre"/>
      </w:pPr>
      <w:r>
        <w:t xml:space="preserve">Faits admis et faits contestés</w:t>
      </w:r>
    </w:p>
    <w:p>
      <w:pPr>
        <w:pStyle w:val="Corps"/>
      </w:pPr>
      <w:r>
        <w:t xml:space="preserve">Les faits admis sont [Faits admis]. Les faits contestés sont [Faits contestés]. Cette distinction structure la preuve et évite de soumettre au juge un récit uniforme qui confondrait reconnaissance, silence et contestation. Chaque fait contesté renvoie aux versions opposées et aux pièces permettant d’en apprécier la portée.</w:t>
      </w:r>
    </w:p>
    <w:p>
      <w:pPr>
        <w:pStyle w:val="Intertitre"/>
      </w:pPr>
      <w:r>
        <w:t xml:space="preserve">Nature de la demande principale — choisir une seule variante</w:t>
      </w:r>
    </w:p>
    <w:p>
      <w:pPr>
        <w:pStyle w:val="Variante"/>
      </w:pPr>
      <w:r>
        <w:t xml:space="preserve">Variante : Demande monétaire</w:t>
      </w:r>
    </w:p>
    <w:p>
      <w:pPr>
        <w:pStyle w:val="Corps"/>
      </w:pPr>
      <w:r>
        <w:t xml:space="preserve">Le requérant sollicite le paiement de [Montant réclamé], calculé selon [Calcul de la créance ou de l'indemnité demandée]. Les sommes accessoires sont individualisées comme suit : [Montants accessoires]. Le décompte distingue principal, paiements, avoirs, intérêts et frais, puis indique sa date d'arrêté. Chaque poste est rattaché à une échéance et à une pièce, de sorte que le montant du dispositif puisse être recalculé sans donnée extérieure.</w:t>
      </w:r>
    </w:p>
    <w:p>
      <w:pPr>
        <w:pStyle w:val="Variante"/>
      </w:pPr>
      <w:r>
        <w:t xml:space="preserve">Variante : Demande non monétaire</w:t>
      </w:r>
    </w:p>
    <w:p>
      <w:pPr>
        <w:pStyle w:val="Corps"/>
      </w:pPr>
      <w:r>
        <w:t xml:space="preserve">Le requérant sollicite l'exécution suivante : [Exécution demandée]. Les modalités demandées sont [Modalités de performance] et le délai sollicité est [Délai demandé]. L'obligation demandée est décrite de manière suffisamment précise pour être exécutée et contrôlée. Le dispositif identifie son débiteur, son objet, son point de départ et les éventuelles réserves, sans renvoyer à une formulation indéterminée du corps de la requête.</w:t>
      </w:r>
    </w:p>
    <w:p>
      <w:pPr>
        <w:pStyle w:val="Intertitre"/>
      </w:pPr>
      <w:r>
        <w:t xml:space="preserve">Étendue des prétentions</w:t>
      </w:r>
    </w:p>
    <w:p>
      <w:pPr>
        <w:pStyle w:val="Corps"/>
      </w:pPr>
      <w:r>
        <w:t xml:space="preserve">Les prétentions sont formulées de manière déterminée et cohérente avec les faits exposés. Elles n'emportent aucune demande qui ne soit développée dans les moyens et rattachée aux pièces. Chaque chef est individualisé avec son bénéficiaire, son débiteur, son fondement et, lorsqu'il y a lieu, son montant ou son délai. Les demandes subsidiaires sont distinguées des demandes principales et leur ordre d'examen est rendu explicite.</w:t>
      </w:r>
    </w:p>
    <w:p>
      <w:pPr>
        <w:pStyle w:val="Intertitre"/>
      </w:pPr>
      <w:r>
        <w:t xml:space="preserve">Moyens en droit</w:t>
      </w:r>
    </w:p>
    <w:p>
      <w:pPr>
        <w:pStyle w:val="Corps"/>
      </w:pPr>
      <w:r>
        <w:t xml:space="preserve">Les moyens juridiques invoqués sont les suivants : [Arguments juridiques]. Chacun est appliqué aux faits pertinents et conduit à une prétention identifiée dans le dispositif. Pour chaque moyen, le texte expose successivement la règle applicable, les faits qualifiés, les pièces qui les établissent et la conséquence demandée. Une référence légale n'est jamais utilisée comme substitut à la démonstration propre au dossier.</w:t>
      </w:r>
    </w:p>
    <w:p>
      <w:pPr>
        <w:pStyle w:val="Intertitre"/>
      </w:pPr>
      <w:r>
        <w:t xml:space="preserve">Recevabilité de la saisine</w:t>
      </w:r>
    </w:p>
    <w:p>
      <w:pPr>
        <w:pStyle w:val="Corps"/>
      </w:pPr>
      <w:r>
        <w:t xml:space="preserve">La saisine par requête est retenue uniquement si ce mode d'introduction est permis pour la demande considérée. L'acte contient les mentions de la demande initiale, l'identification de l'adversaire et l'indication des pièces. Le fondement autorisant cette forme de saisine, l'absence de représentation obligatoire et les éventuels seuils ou matières spéciales sont contrôlés à la date du dépôt. Tant qu'un de ces éléments demeure incertain, la requête reste à l'état de projet et ne doit pas être remise au greffe.</w:t>
      </w:r>
    </w:p>
    <w:p>
      <w:pPr>
        <w:pStyle w:val="Intertitre"/>
      </w:pPr>
      <w:r>
        <w:t xml:space="preserve">Preuve des prétentions</w:t>
      </w:r>
    </w:p>
    <w:p>
      <w:pPr>
        <w:pStyle w:val="Corps"/>
      </w:pPr>
      <w:r>
        <w:t xml:space="preserve">Les éléments produits sont appréciés contradictoirement au regard de la charge de la preuve applicable. La requête distingue les faits établis, les déductions juridiques et les mesures sollicitées. Chaque partie conserve la charge des faits nécessaires au succès de sa prétention. Les présomptions, écrits, attestations et autres éléments sont présentés selon leur force propre, sans transformer une affirmation du requérant en fait acquis.</w:t>
      </w:r>
    </w:p>
    <w:p>
      <w:pPr>
        <w:pStyle w:val="Intertitre"/>
      </w:pPr>
      <w:r>
        <w:t xml:space="preserve">Clause optionnelle : Mesure provisoire sollicitée</w:t>
      </w:r>
    </w:p>
    <w:p>
      <w:pPr>
        <w:pStyle w:val="Corps"/>
      </w:pPr>
      <w:r>
        <w:t xml:space="preserve">Dans l'attente de la décision au fond, il est demandé d'ordonner [Demande provisoire] pour les motifs suivants : [Motifs provisoires]. La portée temporaire de la mesure est limitée à [Périmètre de la demande provisoire]. Le requérant explique le lien entre la mesure temporaire, le risque identifié et la demande principale. La durée, les conditions de cessation et l'absence d'anticipation irréversible du jugement au fond sont précisées dans les limites du pouvoir invoqué.</w:t>
      </w:r>
    </w:p>
    <w:p>
      <w:pPr>
        <w:pStyle w:val="Intertitre"/>
      </w:pPr>
      <w:r>
        <w:t xml:space="preserve">Recevabilité de la requête</w:t>
      </w:r>
    </w:p>
    <w:p>
      <w:pPr>
        <w:pStyle w:val="Corps"/>
      </w:pPr>
      <w:r>
        <w:t xml:space="preserve">La saisine par requête est autorisée sur le fondement suivant : [Fondement de la saisine par requête]. Le texte ou la matière invoqués sont rapprochés de la valeur et de la nature de chaque prétention. À défaut de fondement confirmé, le dépôt est bloqué afin d’éviter de substituer une requête à une assignation ou à une autre procédure exigée.</w:t>
      </w:r>
    </w:p>
    <w:p>
      <w:pPr>
        <w:pStyle w:val="Intertitre"/>
      </w:pPr>
      <w:r>
        <w:t xml:space="preserve">Application des règles aux faits</w:t>
      </w:r>
    </w:p>
    <w:p>
      <w:pPr>
        <w:pStyle w:val="Corps"/>
      </w:pPr>
      <w:r>
        <w:t xml:space="preserve">Le raisonnement juridique est développé comme suit : [Raisonnement juridique structuré]. Chaque moyen comporte une règle vérifiée, la qualification des faits, les pièces utiles et la conséquence demandée. Les moyens subsidiaires sont annoncés comme tels et ne sont pas cumulés avec une prétention incompatible sans préciser leur ordre d’examen.</w:t>
      </w:r>
    </w:p>
    <w:p>
      <w:pPr>
        <w:pStyle w:val="Intertitre"/>
      </w:pPr>
      <w:r>
        <w:t xml:space="preserve">Réponse aux moyens adverses</w:t>
      </w:r>
    </w:p>
    <w:p>
      <w:pPr>
        <w:pStyle w:val="Corps"/>
      </w:pPr>
      <w:r>
        <w:t xml:space="preserve">Les moyens adverses connus sont [Moyens adverses connus]. Le requérant y répond par [Réponses aux moyens adverses]. Chaque réponse distingue le fait contesté, la règle invoquée et la preuve correspondante. L’absence de réponse adverse n’est pas transformée en admission et aucune défense hypothétique n’est inventée pour donner artificiellement une apparence de complétude.</w:t>
      </w:r>
    </w:p>
    <w:p>
      <w:pPr>
        <w:pStyle w:val="Intertitre"/>
      </w:pPr>
      <w:r>
        <w:t xml:space="preserve">Demandes principales</w:t>
      </w:r>
    </w:p>
    <w:p>
      <w:pPr>
        <w:pStyle w:val="Corps"/>
      </w:pPr>
      <w:r>
        <w:t xml:space="preserve">Il est demandé à la juridiction de faire droit aux prétentions suivantes : [Demandes finales]. Le dispositif reprend chacune d'elles de manière autonome afin d'en permettre l'examen et l'exécution. Chaque chef est numéroté, reprend les variables déjà développées et distingue demande principale, demande subsidiaire et accessoire. Aucune somme, obligation ou personne ne doit apparaître pour la première fois dans le dispositif.</w:t>
      </w:r>
    </w:p>
    <w:p>
      <w:pPr>
        <w:pStyle w:val="Intertitre"/>
      </w:pPr>
      <w:r>
        <w:t xml:space="preserve">Clause optionnelle : Frais et dépens</w:t>
      </w:r>
    </w:p>
    <w:p>
      <w:pPr>
        <w:pStyle w:val="Corps"/>
      </w:pPr>
      <w:r>
        <w:t xml:space="preserve">Les demandes relatives aux frais et aux dépens sont les suivantes : [Demandes de dépenses]. Elles sont distinctes de la prétention principale et soumises à l'appréciation de la juridiction. Le montant éventuellement demandé au titre des frais non compris dans les dépens est justifié séparément. Les frais de procédure, dépens et dépenses personnelles ne sont ni regroupés ni chiffrés par défaut.</w:t>
      </w:r>
    </w:p>
    <w:p>
      <w:pPr>
        <w:pStyle w:val="Intertitre"/>
      </w:pPr>
      <w:r>
        <w:t xml:space="preserve">Modalités d'exécution demandées</w:t>
      </w:r>
    </w:p>
    <w:p>
      <w:pPr>
        <w:pStyle w:val="Corps"/>
      </w:pPr>
      <w:r>
        <w:t xml:space="preserve">Les modalités d'exécution sollicitées sont [Conditions d'exécution]. Elles demeurent dans les limites des pouvoirs du juge et de la nature de la décision susceptible d'être rendue. Toute astreinte, exécution provisoire ou délai demandé fait l'objet d'un chef distinct et d'une motivation adaptée. Le texte n'attribue pas au juge un pouvoir non établi pour la route procédurale choisie.</w:t>
      </w:r>
    </w:p>
    <w:p>
      <w:pPr>
        <w:pStyle w:val="Intertitre"/>
      </w:pPr>
      <w:r>
        <w:t xml:space="preserve">Dispositif</w:t>
      </w:r>
    </w:p>
    <w:p>
      <w:pPr>
        <w:pStyle w:val="Corps"/>
      </w:pPr>
      <w:r>
        <w:t xml:space="preserve">Par ces motifs, le requérant demande à la juridiction d'accueillir la requête, de statuer sur les demandes expressément formulées et de tirer les conséquences relatives aux frais et à l'exécution. Les chefs sont présentés dans l'ordre de leur examen, avec les identités, montants, obligations et délais déjà exposés. Les demandes incompatibles sont formulées à titre subsidiaire et les accessoires suivent clairement la prétention à laquelle ils se rattachent.</w:t>
      </w:r>
    </w:p>
    <w:p>
      <w:pPr>
        <w:pStyle w:val="Intertitre"/>
      </w:pPr>
      <w:r>
        <w:t xml:space="preserve">Clause optionnelle : Intérêts</w:t>
      </w:r>
    </w:p>
    <w:p>
      <w:pPr>
        <w:pStyle w:val="Corps"/>
      </w:pPr>
      <w:r>
        <w:t xml:space="preserve">Les intérêts demandés sont déterminés selon [Intérêts demandés]. Le dispositif distingue le taux, l’assiette, le point de départ et la période de calcul du principal ainsi que des frais. Aucun taux ou point de départ n’est ajouté par défaut ; toute partie sérieusement discutée est exposée séparément ou laissée à l’appréciation du juge selon le fondement invoqué.</w:t>
      </w:r>
    </w:p>
    <w:p>
      <w:pPr>
        <w:pStyle w:val="Intertitre"/>
      </w:pPr>
      <w:r>
        <w:t xml:space="preserve">Clause optionnelle : Astreinte</w:t>
      </w:r>
    </w:p>
    <w:p>
      <w:pPr>
        <w:pStyle w:val="Corps"/>
      </w:pPr>
      <w:r>
        <w:t xml:space="preserve">L’astreinte sollicitée est définie par [Astreinte demandée]. Son montant, sa périodicité, son point de départ et sa durée sont adaptés à l’obligation non monétaire demandée. Elle fait l’objet d’un chef autonome et ne remplace ni les dommages allégués ni les modalités d’exécution qui doivent rester précisément formulées.</w:t>
      </w:r>
    </w:p>
    <w:p>
      <w:pPr>
        <w:pStyle w:val="Intertitre"/>
      </w:pPr>
      <w:r>
        <w:t xml:space="preserve">Bordereau des pièces</w:t>
      </w:r>
    </w:p>
    <w:p>
      <w:pPr>
        <w:pStyle w:val="Corps"/>
      </w:pPr>
      <w:r>
        <w:t xml:space="preserve">Les pièces invoquées sont énumérées dans le bordereau suivant : [Calendrier des pièces jointes]. Elles sont jointes dans les exemplaires requis et selon un ordre permettant leur rapprochement avec les faits. Pour chaque pièce, le bordereau indique un numéro unique, un intitulé intelligible et, si nécessaire, une date. Les renvois du texte sont vérifiés après toute insertion ou suppression afin d'empêcher les numéros orphelins et les doublons.</w:t>
      </w:r>
    </w:p>
    <w:p>
      <w:pPr>
        <w:pStyle w:val="Intertitre"/>
      </w:pPr>
      <w:r>
        <w:t xml:space="preserve">Exemplaires destinés aux parties</w:t>
      </w:r>
    </w:p>
    <w:p>
      <w:pPr>
        <w:pStyle w:val="Corps"/>
      </w:pPr>
      <w:r>
        <w:t xml:space="preserve">Les pièces et la requête sont produites dans les exemplaires nécessaires à la convocation des parties. Lorsque le dépôt électronique est admis, leur transmission suit les prescriptions applicables. Le nombre d'exemplaires, le canal de dépôt et les modalités de convocation sont ceux confirmés pour la juridiction saisie. Les annexes contenant des données sensibles sont limitées à ce qui est nécessaire au débat.</w:t>
      </w:r>
    </w:p>
    <w:p>
      <w:pPr>
        <w:pStyle w:val="Intertitre"/>
      </w:pPr>
      <w:r>
        <w:t xml:space="preserve">Stade du dépôt — choisir une seule variante</w:t>
      </w:r>
    </w:p>
    <w:p>
      <w:pPr>
        <w:pStyle w:val="Variante"/>
      </w:pPr>
      <w:r>
        <w:t xml:space="preserve">Variante : Projet non déposé</w:t>
      </w:r>
    </w:p>
    <w:p>
      <w:pPr>
        <w:pStyle w:val="Corps"/>
      </w:pPr>
      <w:r>
        <w:t xml:space="preserve">La requête demeure au stade de projet. Le mode de dépôt envisagé est [Méthode de dépôt], mais aucune remise au greffe ni saisine ne doit être présentée comme accomplie. Les mentions de juridiction, de parties, de demandes, de signature et de pièces restent modifiables jusqu’à la validation finale de la version destinée au dépôt.</w:t>
      </w:r>
    </w:p>
    <w:p>
      <w:pPr>
        <w:pStyle w:val="Variante"/>
      </w:pPr>
      <w:r>
        <w:t xml:space="preserve">Variante : Requête prête à déposer</w:t>
      </w:r>
    </w:p>
    <w:p>
      <w:pPr>
        <w:pStyle w:val="Corps"/>
      </w:pPr>
      <w:r>
        <w:t xml:space="preserve">La requête signée est prête à être déposée selon [Méthode de dépôt]. La version, les annexes et le bordereau ont été figés pour transmission, sans qu’un dépôt soit encore tenu pour accompli. Toute modification postérieure impose une nouvelle vérification de la signature, des exemplaires et des fichiers effectivement remis au greffe.</w:t>
      </w:r>
    </w:p>
    <w:p>
      <w:pPr>
        <w:pStyle w:val="Variante"/>
      </w:pPr>
      <w:r>
        <w:t xml:space="preserve">Variante : Dépôt accompli</w:t>
      </w:r>
    </w:p>
    <w:p>
      <w:pPr>
        <w:pStyle w:val="Corps"/>
      </w:pPr>
      <w:r>
        <w:t xml:space="preserve">La requête a été déposée selon [Méthode de dépôt] et l’enregistrement est établi par [Référence de dépôt au greffe]. Cette référence doit concorder avec la juridiction, la date, la version signée et les pièces transmises. L’existence d’un fichier préparé ou d’un envoi non accusé ne suffit pas à constater la saisine effective.</w:t>
      </w:r>
    </w:p>
    <w:p>
      <w:pPr>
        <w:pStyle w:val="Intertitre"/>
      </w:pPr>
      <w:r>
        <w:t xml:space="preserve">Clause optionnelle : Clôture du projet</w:t>
      </w:r>
    </w:p>
    <w:p>
      <w:pPr>
        <w:pStyle w:val="Corps"/>
      </w:pPr>
      <w:r>
        <w:t xml:space="preserve">Projet de requête non signé et non déposé. Les faits, moyens, demandes, pièces et mentions de saisine restent soumis à la validation de leur version définitive. Aucun nom de signataire, aucune date de signature et aucune remise au greffe ne sont présentés comme acquis à ce stade.</w:t>
      </w:r>
    </w:p>
    <w:p>
      <w:pPr>
        <w:pStyle w:val="Intertitre"/>
      </w:pPr>
      <w:r>
        <w:t xml:space="preserve">Clause optionnelle : Lieu et date</w:t>
      </w:r>
    </w:p>
    <w:p>
      <w:pPr>
        <w:pStyle w:val="Corps"/>
      </w:pPr>
      <w:r>
        <w:t xml:space="preserve">La requête est établie à [Lieu de signature] le [Date de signature]. La date portée correspond à celle de l'acte effectivement arrêté et signé. Le lieu et la date sont repris des informations confirmées pour la version destinée au dépôt. Toute modification postérieure à la signature impose d'identifier une nouvelle version et de renouveler les contrôles avant remise au greffe.</w:t>
      </w:r>
    </w:p>
    <w:p>
      <w:pPr>
        <w:pStyle w:val="Intertitre"/>
      </w:pPr>
      <w:r>
        <w:t xml:space="preserve">Clause optionnelle : Signature du requérant</w:t>
      </w:r>
    </w:p>
    <w:p>
      <w:pPr>
        <w:pStyle w:val="Corps"/>
      </w:pPr>
      <w:r>
        <w:t xml:space="preserve">La présente requête est signée par [Demandeur signataire]. La signature manifeste l'adoption des faits, moyens et demandes tels qu'ils sont contenus dans l'acte. Lorsque la requête est conjointe ou signée par un représentant, chaque signataire et son pouvoir sont identifiés. La version signée est rapprochée du bordereau et des pièces effectivement remis au greffe.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