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ACTE DE CAUTIONNEMENT D'UNE PERSONNE PHYSIQUE</w:t>
      </w:r>
    </w:p>
    <w:p>
      <w:pPr>
        <w:pStyle w:val="Intertitre"/>
      </w:pPr>
      <w:r>
        <w:t xml:space="preserve">Créancier</w:t>
      </w:r>
    </w:p>
    <w:p>
      <w:pPr>
        <w:pStyle w:val="Corps"/>
      </w:pPr>
      <w:r>
        <w:t xml:space="preserve">Le créancier bénéficiaire du cautionnement est [Nom ou dénomination du créancier]. Son identité, sa qualité professionnelle éventuelle et son pouvoir de recevoir la garantie sont vérifiés.</w:t>
      </w:r>
    </w:p>
    <w:p>
      <w:pPr>
        <w:pStyle w:val="Intertitre"/>
      </w:pPr>
      <w:r>
        <w:t xml:space="preserve">Débiteur principal</w:t>
      </w:r>
    </w:p>
    <w:p>
      <w:pPr>
        <w:pStyle w:val="Corps"/>
      </w:pPr>
      <w:r>
        <w:t xml:space="preserve">Le débiteur dont les obligations sont garanties est [Nom ou dénomination du débiteur principal]. Le cautionnement demeure accessoire aux obligations valablement dues par ce débiteur.</w:t>
      </w:r>
    </w:p>
    <w:p>
      <w:pPr>
        <w:pStyle w:val="Intertitre"/>
      </w:pPr>
      <w:r>
        <w:t xml:space="preserve">Caution</w:t>
      </w:r>
    </w:p>
    <w:p>
      <w:pPr>
        <w:pStyle w:val="Corps"/>
      </w:pPr>
      <w:r>
        <w:t xml:space="preserve">La caution est [Nom ou dénomination de la caution]. Les identités des parties sont établies par [Preuve d'identité de la partie] et la capacité de la caution par [Justificatifs de la capacité juridique de la caution].</w:t>
      </w:r>
    </w:p>
    <w:p>
      <w:pPr>
        <w:pStyle w:val="Intertitre"/>
      </w:pPr>
      <w:r>
        <w:t xml:space="preserve">Situation patrimoniale de la caution</w:t>
      </w:r>
    </w:p>
    <w:p>
      <w:pPr>
        <w:pStyle w:val="Corps"/>
      </w:pPr>
      <w:r>
        <w:t xml:space="preserve">Les informations remises sur les revenus, charges et patrimoine sont [Informations financières du garant]. Elles sont datées, justifiées et examinées sans les transformer en garantie d'exactitude absolue.</w:t>
      </w:r>
    </w:p>
    <w:p>
      <w:pPr>
        <w:pStyle w:val="Corps"/>
      </w:pPr>
      <w:r>
        <w:t xml:space="preserve">L'examen distingue les ressources régulières, les charges certaines, les engagements antérieurs et les actifs immédiatement mobilisables. Toute donnée ancienne, contradictoire ou non justifiée est signalée afin que le créancier ne fonde pas son appréciation sur une présentation incomplète de la situation de la caution.</w:t>
      </w:r>
    </w:p>
    <w:p>
      <w:pPr>
        <w:pStyle w:val="Intertitre"/>
      </w:pPr>
      <w:r>
        <w:t xml:space="preserve">Étendue de la garantie — choisir une seule variante</w:t>
      </w:r>
    </w:p>
    <w:p>
      <w:pPr>
        <w:pStyle w:val="Variante"/>
      </w:pPr>
      <w:r>
        <w:t xml:space="preserve">Variante : Dette précisément garantie</w:t>
      </w:r>
    </w:p>
    <w:p>
      <w:pPr>
        <w:pStyle w:val="Corps"/>
      </w:pPr>
      <w:r>
        <w:t xml:space="preserve">Le cautionnement garantit la dette référencée [Référence de la dette garantie], dans la limite du principal [Plafond principal garanti] et des accessoires [Accessoires garantis].</w:t>
      </w:r>
    </w:p>
    <w:p>
      <w:pPr>
        <w:pStyle w:val="Variante"/>
      </w:pPr>
      <w:r>
        <w:t xml:space="preserve">Variante : Ensemble défini d'obligations</w:t>
      </w:r>
    </w:p>
    <w:p>
      <w:pPr>
        <w:pStyle w:val="Corps"/>
      </w:pPr>
      <w:r>
        <w:t xml:space="preserve">Le cautionnement couvre la relation garantie [Relations garanties] dans la limite globale [Plafond global de garantie]. Les catégories d'obligations incluses doivent rester déterminables.</w:t>
      </w:r>
    </w:p>
    <w:p>
      <w:pPr>
        <w:pStyle w:val="Intertitre"/>
      </w:pPr>
      <w:r>
        <w:t xml:space="preserve">Plafond global</w:t>
      </w:r>
    </w:p>
    <w:p>
      <w:pPr>
        <w:pStyle w:val="Corps"/>
      </w:pPr>
      <w:r>
        <w:t xml:space="preserve">L'engagement ne peut excéder le plafond renseigné en principal et accessoires. Toute discordance entre montants, dette de référence et mention apposée doit être résolue avant signature.</w:t>
      </w:r>
    </w:p>
    <w:p>
      <w:pPr>
        <w:pStyle w:val="Intertitre"/>
      </w:pPr>
      <w:r>
        <w:t xml:space="preserve">Durée du cautionnement — choisir une seule variante</w:t>
      </w:r>
    </w:p>
    <w:p>
      <w:pPr>
        <w:pStyle w:val="Variante"/>
      </w:pPr>
      <w:r>
        <w:t xml:space="preserve">Variante : Durée déterminée</w:t>
      </w:r>
    </w:p>
    <w:p>
      <w:pPr>
        <w:pStyle w:val="Corps"/>
      </w:pPr>
      <w:r>
        <w:t xml:space="preserve">Le cautionnement est consenti pour la période [Période d'engagement de garantie] selon les modalités de durée [Durée de la garantie] et prend fin sans couvrir les obligations nées hors du périmètre convenu.</w:t>
      </w:r>
    </w:p>
    <w:p>
      <w:pPr>
        <w:pStyle w:val="Variante"/>
      </w:pPr>
      <w:r>
        <w:t xml:space="preserve">Variante : Durée indéterminée</w:t>
      </w:r>
    </w:p>
    <w:p>
      <w:pPr>
        <w:pStyle w:val="Corps"/>
      </w:pPr>
      <w:r>
        <w:t xml:space="preserve">Le cautionnement est conclu sans terme fixe selon [Durée de la garantie]. La faculté de résiliation et les effets sur les dettes déjà nées sont décrits par [Effets de résiliation].</w:t>
      </w:r>
    </w:p>
    <w:p>
      <w:pPr>
        <w:pStyle w:val="Intertitre"/>
      </w:pPr>
      <w:r>
        <w:t xml:space="preserve">Information précontractuelle</w:t>
      </w:r>
    </w:p>
    <w:p>
      <w:pPr>
        <w:pStyle w:val="Corps"/>
      </w:pPr>
      <w:r>
        <w:t xml:space="preserve">Les informations remises avant engagement sont consignées dans [Dossier d'information précontractuelle]. La caution reconnaît les avoir reçues sans que cette reconnaissance couvre une information absente.</w:t>
      </w:r>
    </w:p>
    <w:p>
      <w:pPr>
        <w:pStyle w:val="Corps"/>
      </w:pPr>
      <w:r>
        <w:t xml:space="preserve">Le dossier de remise précise la nature de l'obligation garantie, son montant ou son mode de détermination, sa durée, les conditions de mise en jeu et les principaux risques financiers. La signature ne vaut pas renonciation à contester une information inexacte ou tardive.</w:t>
      </w:r>
    </w:p>
    <w:p>
      <w:pPr>
        <w:pStyle w:val="Intertitre"/>
      </w:pPr>
      <w:r>
        <w:t xml:space="preserve">Contrôle de proportionnalité</w:t>
      </w:r>
    </w:p>
    <w:p>
      <w:pPr>
        <w:pStyle w:val="Corps"/>
      </w:pPr>
      <w:r>
        <w:t xml:space="preserve">L'appréciation de la proportionnalité est [Évaluation de la proportionnalité] au regard de la situation documentée lors de la conclusion et du plafond retenu.</w:t>
      </w:r>
    </w:p>
    <w:p>
      <w:pPr>
        <w:pStyle w:val="Corps"/>
      </w:pPr>
      <w:r>
        <w:t xml:space="preserve">Cette appréciation est conduite au jour de l'engagement, sans compensation automatique par les perspectives de revenus du débiteur principal. Elle rapproche le risque maximal du cautionnement des facultés contributives documentées et conserve la méthode, les pièces et la date du contrôle.</w:t>
      </w:r>
    </w:p>
    <w:p>
      <w:pPr>
        <w:pStyle w:val="Intertitre"/>
      </w:pPr>
      <w:r>
        <w:t xml:space="preserve">Mise en garde sur le risque</w:t>
      </w:r>
    </w:p>
    <w:p>
      <w:pPr>
        <w:pStyle w:val="Corps"/>
      </w:pPr>
      <w:r>
        <w:t xml:space="preserve">La mise en garde délivrée à la caution est [Avis de risque du garant] et son accusé de réception est [Reconnaissance de l'avis de risque]. Elle décrit le risque de défaillance sans formule abstraite.</w:t>
      </w:r>
    </w:p>
    <w:p>
      <w:pPr>
        <w:pStyle w:val="Corps"/>
      </w:pPr>
      <w:r>
        <w:t xml:space="preserve">La mise en garde expose concrètement l'hypothèse d'un appel intégral, ses conséquences sur la trésorerie et le patrimoine de la caution ainsi que l'absence de garantie quant à la solvabilité future du débiteur. Son contenu est adapté à l'expérience déclarée de la caution.</w:t>
      </w:r>
    </w:p>
    <w:p>
      <w:pPr>
        <w:pStyle w:val="Intertitre"/>
      </w:pPr>
      <w:r>
        <w:t xml:space="preserve">Défaillance du débiteur</w:t>
      </w:r>
    </w:p>
    <w:p>
      <w:pPr>
        <w:pStyle w:val="Corps"/>
      </w:pPr>
      <w:r>
        <w:t xml:space="preserve">La caution ne peut être appelée qu'en raison d'une obligation garantie devenue exigible et impayée, dans les limites de son engagement et des moyens qu'elle peut opposer.</w:t>
      </w:r>
    </w:p>
    <w:p>
      <w:pPr>
        <w:pStyle w:val="Intertitre"/>
      </w:pPr>
      <w:r>
        <w:t xml:space="preserve">Clause optionnelle : Solidarité et renonciations</w:t>
      </w:r>
    </w:p>
    <w:p>
      <w:pPr>
        <w:pStyle w:val="Corps"/>
      </w:pPr>
      <w:r>
        <w:t xml:space="preserve">Le cautionnement solidaire suit [Modalités de solidarité]. La portée de la renonciation aux bénéfices de discussion ou de division est [Bénéfices de discussion et de division auxquels la caution renonce] et doit figurer dans la mention requise.</w:t>
      </w:r>
    </w:p>
    <w:p>
      <w:pPr>
        <w:pStyle w:val="Intertitre"/>
      </w:pPr>
      <w:r>
        <w:t xml:space="preserve">Moyens et exceptions restant opposables</w:t>
      </w:r>
    </w:p>
    <w:p>
      <w:pPr>
        <w:pStyle w:val="Corps"/>
      </w:pPr>
      <w:r>
        <w:t xml:space="preserve">La caution conserve les moyens et exceptions attachés à la dette et à son engagement, sous réserve des renonciations expressément et valablement reconnues dans l'acte.</w:t>
      </w:r>
    </w:p>
    <w:p>
      <w:pPr>
        <w:pStyle w:val="Intertitre"/>
      </w:pPr>
      <w:r>
        <w:t xml:space="preserve">Clause optionnelle : Information périodique</w:t>
      </w:r>
    </w:p>
    <w:p>
      <w:pPr>
        <w:pStyle w:val="Corps"/>
      </w:pPr>
      <w:r>
        <w:t xml:space="preserve">Le calendrier d'information de la caution est [Calendrier d'information du garant] et la procédure d'avis au premier incident est [Procédure d'avis d'incident].</w:t>
      </w:r>
    </w:p>
    <w:p>
      <w:pPr>
        <w:pStyle w:val="Intertitre"/>
      </w:pPr>
      <w:r>
        <w:t xml:space="preserve">Preuve de l'information</w:t>
      </w:r>
    </w:p>
    <w:p>
      <w:pPr>
        <w:pStyle w:val="Corps"/>
      </w:pPr>
      <w:r>
        <w:t xml:space="preserve">La délivrance des informations est établie par [Preuves relatives à la fourniture de l'information]. La preuve conserve le contenu, la date, le destinataire et le canal utilisé.</w:t>
      </w:r>
    </w:p>
    <w:p>
      <w:pPr>
        <w:pStyle w:val="Corps"/>
      </w:pPr>
      <w:r>
        <w:t xml:space="preserve">L'archivage permet de restituer une copie lisible et identique de chaque information, y compris ses annexes. Un simple journal d'envoi dépourvu du contenu transmis ne suffit pas à établir l'étendue de l'information effectivement délivrée.</w:t>
      </w:r>
    </w:p>
    <w:p>
      <w:pPr>
        <w:pStyle w:val="Intertitre"/>
      </w:pPr>
      <w:r>
        <w:t xml:space="preserve">Notification d'appel</w:t>
      </w:r>
    </w:p>
    <w:p>
      <w:pPr>
        <w:pStyle w:val="Corps"/>
      </w:pPr>
      <w:r>
        <w:t xml:space="preserve">La notification d'appel doit contenir [Contenu de l'avis d'appel] et suivre [Procédure d'appel], avec identification de la dette exigible, du défaut et du calcul réclamé.</w:t>
      </w:r>
    </w:p>
    <w:p>
      <w:pPr>
        <w:pStyle w:val="Corps"/>
      </w:pPr>
      <w:r>
        <w:t xml:space="preserve">La demande rappelle le fondement contractuel de l'appel, la date d'exigibilité et les mises en demeure adressées au débiteur. Elle joint les pièces nécessaires pour permettre à la caution de vérifier le calcul et d'exercer utilement ses moyens et recours.</w:t>
      </w:r>
    </w:p>
    <w:p>
      <w:pPr>
        <w:pStyle w:val="Intertitre"/>
      </w:pPr>
      <w:r>
        <w:t xml:space="preserve">Décompte de la somme appelée</w:t>
      </w:r>
    </w:p>
    <w:p>
      <w:pPr>
        <w:pStyle w:val="Corps"/>
      </w:pPr>
      <w:r>
        <w:t xml:space="preserve">Le montant réclamé est détaillé dans [Calendrier des montants demandés] et ventilé entre principal, intérêts, pénalités, frais et paiements déjà imputés.</w:t>
      </w:r>
    </w:p>
    <w:p>
      <w:pPr>
        <w:pStyle w:val="Corps"/>
      </w:pPr>
      <w:r>
        <w:t xml:space="preserve">Le décompte indique, pour chaque poste, la période, le taux appliqué, l'assiette et l'ordre d'imputation des règlements. Il distingue les sommes couvertes de celles qui demeurent hors garantie et fait apparaître le solde du plafond après l'appel.</w:t>
      </w:r>
    </w:p>
    <w:p>
      <w:pPr>
        <w:pStyle w:val="Intertitre"/>
      </w:pPr>
      <w:r>
        <w:t xml:space="preserve">Limites de l'appel</w:t>
      </w:r>
    </w:p>
    <w:p>
      <w:pPr>
        <w:pStyle w:val="Corps"/>
      </w:pPr>
      <w:r>
        <w:t xml:space="preserve">Le créancier ne peut appeler au-delà du plafond, de la durée et des obligations garanties. Les sanctions attachées à une information défaillante sont réservées.</w:t>
      </w:r>
    </w:p>
    <w:p>
      <w:pPr>
        <w:pStyle w:val="Intertitre"/>
      </w:pPr>
      <w:r>
        <w:t xml:space="preserve">Paiement et subrogation</w:t>
      </w:r>
    </w:p>
    <w:p>
      <w:pPr>
        <w:pStyle w:val="Corps"/>
      </w:pPr>
      <w:r>
        <w:t xml:space="preserve">Après paiement, les quittances, recours et transmission des droits suivent [Procédure de paiement et de subrogation], sans priver la caution des justificatifs nécessaires.</w:t>
      </w:r>
    </w:p>
    <w:p>
      <w:pPr>
        <w:pStyle w:val="Corps"/>
      </w:pPr>
      <w:r>
        <w:t xml:space="preserve">Le créancier remet les titres, sûretés, décomptes et informations utiles à l'exercice du recours. Il s'abstient de tout acte qui compromettrait les droits transmis et indique les paiements ou concours reçus afin d'éviter une double perception.</w:t>
      </w:r>
    </w:p>
    <w:p>
      <w:pPr>
        <w:pStyle w:val="Intertitre"/>
      </w:pPr>
      <w:r>
        <w:t xml:space="preserve">Mention apposée par la caution</w:t>
      </w:r>
    </w:p>
    <w:p>
      <w:pPr>
        <w:pStyle w:val="Corps"/>
      </w:pPr>
      <w:r>
        <w:t xml:space="preserve">La caution appose elle-même la mention contrôlée dans [Compte rendu des textes législatifs]. Le texte, les montants en lettres et chiffres et toute renonciation sont vérifiés avant signature.</w:t>
      </w:r>
    </w:p>
    <w:p>
      <w:pPr>
        <w:pStyle w:val="Corps"/>
      </w:pPr>
      <w:r>
        <w:t xml:space="preserve">La mention est recueillie dans les conditions de forme applicables au mode de signature retenu. Elle exprime sans équivoque le plafond, la durée et, s'il y a lieu, la solidarité; toute différence avec le corps de l'acte suspend la signature jusqu'à correction concordante.</w:t>
      </w:r>
    </w:p>
    <w:p>
      <w:pPr>
        <w:pStyle w:val="Intertitre"/>
      </w:pPr>
      <w:r>
        <w:t xml:space="preserve">Absence de blanc et annexes</w:t>
      </w:r>
    </w:p>
    <w:p>
      <w:pPr>
        <w:pStyle w:val="Corps"/>
      </w:pPr>
      <w:r>
        <w:t xml:space="preserve">Les renvois, blancs, corrections et annexes sont paraphés ou identifiés de manière à exclure toute modification postérieure non consentie de l'étendue de la garantie.</w:t>
      </w:r>
    </w:p>
    <w:p>
      <w:pPr>
        <w:pStyle w:val="Corps"/>
      </w:pPr>
      <w:r>
        <w:t xml:space="preserve">La pagination et la liste des annexes sont arrêtées avant signature. Toute modification ultérieure exige une validation traçable des parties et, lorsqu'elle affecte l'engagement de la caution, une nouvelle formalisation conforme.</w:t>
      </w:r>
    </w:p>
    <w:p>
      <w:pPr>
        <w:pStyle w:val="Intertitre"/>
      </w:pPr>
      <w:r>
        <w:t xml:space="preserve">Exemplaires</w:t>
      </w:r>
    </w:p>
    <w:p>
      <w:pPr>
        <w:pStyle w:val="Corps"/>
      </w:pPr>
      <w:r>
        <w:t xml:space="preserve">Chaque partie reçoit un exemplaire complet comprenant l'acte, la mention de la caution et les annexes contractuelles effectivement visées.</w:t>
      </w:r>
    </w:p>
    <w:p>
      <w:pPr>
        <w:pStyle w:val="Intertitre"/>
      </w:pPr>
      <w:r>
        <w:t xml:space="preserve">Signatures</w:t>
      </w:r>
    </w:p>
    <w:p>
      <w:pPr>
        <w:pStyle w:val="Corps"/>
      </w:pPr>
      <w:r>
        <w:t xml:space="preserve">L'acte est signé par [Noms des signataires] après contrôle de l'identité, du plafond, de la durée, de la mention apposée et des informations remises.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