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GAGE DE MEUBLES CORPORELS</w:t>
      </w:r>
    </w:p>
    <w:p>
      <w:pPr>
        <w:pStyle w:val="Intertitre"/>
      </w:pPr>
      <w:r>
        <w:t xml:space="preserve">Objet du gage</w:t>
      </w:r>
    </w:p>
    <w:p>
      <w:pPr>
        <w:pStyle w:val="Corps"/>
      </w:pPr>
      <w:r>
        <w:t xml:space="preserve">Le Constituant affecte les meubles corporels spécialement désignés au paiement préférentiel du Créancier, en garantie des obligations identifiées. Aucun transfert de propriété n'intervient avant une réalisation régulière, sauf l'effet légal propre aux biens fongibles dispensés de séparation.</w:t>
      </w:r>
    </w:p>
    <w:p>
      <w:pPr>
        <w:pStyle w:val="Intertitre"/>
      </w:pPr>
      <w:r>
        <w:t xml:space="preserve">Nature du Constituant — choisir une seule variante</w:t>
      </w:r>
    </w:p>
    <w:p>
      <w:pPr>
        <w:pStyle w:val="Variante"/>
      </w:pPr>
      <w:r>
        <w:t xml:space="preserve">Variante : Constituant personne morale</w:t>
      </w:r>
    </w:p>
    <w:p>
      <w:pPr>
        <w:pStyle w:val="Corps"/>
      </w:pPr>
      <w:r>
        <w:t xml:space="preserve">Le gage est consenti par [Constituant], [Forme ou état civil du Constituant], dont le siège est situé [Adresse du Constituant], immatriculée sous [Immatriculation du Constituant], représentée par [Représentant du Constituant], agissant en qualité de [Qualité du représentant du Constituant].</w:t>
      </w:r>
    </w:p>
    <w:p>
      <w:pPr>
        <w:pStyle w:val="Variante"/>
      </w:pPr>
      <w:r>
        <w:t xml:space="preserve">Variante : Constituant personne physique</w:t>
      </w:r>
    </w:p>
    <w:p>
      <w:pPr>
        <w:pStyle w:val="Corps"/>
      </w:pPr>
      <w:r>
        <w:t xml:space="preserve">Le gage est consenti par [Constituant], né(e) [Naissance du Constituant], de nationalité [Nationalité du Constituant], domicilié(e) [Adresse du Constituant].</w:t>
      </w:r>
    </w:p>
    <w:p>
      <w:pPr>
        <w:pStyle w:val="Intertitre"/>
      </w:pPr>
      <w:r>
        <w:t xml:space="preserve">Nature du Créancier — choisir une seule variante</w:t>
      </w:r>
    </w:p>
    <w:p>
      <w:pPr>
        <w:pStyle w:val="Variante"/>
      </w:pPr>
      <w:r>
        <w:t xml:space="preserve">Variante : Créancier personne morale</w:t>
      </w:r>
    </w:p>
    <w:p>
      <w:pPr>
        <w:pStyle w:val="Corps"/>
      </w:pPr>
      <w:r>
        <w:t xml:space="preserve">Le gage bénéficie à [Créancier gagiste], [Forme ou état civil du Créancier], dont le siège est situé [Adresse du Créancier], immatriculée sous [Immatriculation du Créancier], représentée par [Représentant du Créancier], agissant en qualité de [Qualité du représentant du Créancier].</w:t>
      </w:r>
    </w:p>
    <w:p>
      <w:pPr>
        <w:pStyle w:val="Variante"/>
      </w:pPr>
      <w:r>
        <w:t xml:space="preserve">Variante : Créancier personne physique</w:t>
      </w:r>
    </w:p>
    <w:p>
      <w:pPr>
        <w:pStyle w:val="Corps"/>
      </w:pPr>
      <w:r>
        <w:t xml:space="preserve">Le gage bénéficie à [Créancier gagiste], né(e) [Naissance du Créancier], de nationalité [Nationalité du Créancier], domicilié(e) [Adresse du Créancier].</w:t>
      </w:r>
    </w:p>
    <w:p>
      <w:pPr>
        <w:pStyle w:val="Intertitre"/>
      </w:pPr>
      <w:r>
        <w:t xml:space="preserve">Débiteur garanti — choisir une seule variante</w:t>
      </w:r>
    </w:p>
    <w:p>
      <w:pPr>
        <w:pStyle w:val="Variante"/>
      </w:pPr>
      <w:r>
        <w:t xml:space="preserve">Variante : Constituant également débiteur</w:t>
      </w:r>
    </w:p>
    <w:p>
      <w:pPr>
        <w:pStyle w:val="Corps"/>
      </w:pPr>
      <w:r>
        <w:t xml:space="preserve">Le Constituant est également débiteur des obligations garanties. Son identification vaut dans ces deux qualités sans modifier la distinction entre dette principale et propriété des biens gagés.</w:t>
      </w:r>
    </w:p>
    <w:p>
      <w:pPr>
        <w:pStyle w:val="Variante"/>
      </w:pPr>
      <w:r>
        <w:t xml:space="preserve">Variante : Débiteur garanti distinct</w:t>
      </w:r>
    </w:p>
    <w:p>
      <w:pPr>
        <w:pStyle w:val="Corps"/>
      </w:pPr>
      <w:r>
        <w:t xml:space="preserve">Les obligations garanties sont dues par [Débiteur garanti], identifié comme suit : [Identification du Débiteur garanti]. Le Constituant affecte ses biens à la dette de ce tiers dans les limites du présent acte.</w:t>
      </w:r>
    </w:p>
    <w:p>
      <w:pPr>
        <w:pStyle w:val="Intertitre"/>
      </w:pPr>
      <w:r>
        <w:t xml:space="preserve">Capacité et pouvoirs</w:t>
      </w:r>
    </w:p>
    <w:p>
      <w:pPr>
        <w:pStyle w:val="Corps"/>
      </w:pPr>
      <w:r>
        <w:t xml:space="preserve">Chaque signataire justifie de sa capacité et de ses pouvoirs. Les restrictions statutaires, régimes matrimoniaux, indivisions, procédures collectives et autorisations particulières sont contrôlées avant signature.</w:t>
      </w:r>
    </w:p>
    <w:p>
      <w:pPr>
        <w:pStyle w:val="Intertitre"/>
      </w:pPr>
      <w:r>
        <w:t xml:space="preserve">Contrat garanti</w:t>
      </w:r>
    </w:p>
    <w:p>
      <w:pPr>
        <w:pStyle w:val="Corps"/>
      </w:pPr>
      <w:r>
        <w:t xml:space="preserve">Les obligations garanties résultent du contrat conclu le [Date du contrat garanti] sous la référence [Contrat garanti]. Le gage en constitue l'accessoire sans modifier leur exigibilité.</w:t>
      </w:r>
    </w:p>
    <w:p>
      <w:pPr>
        <w:pStyle w:val="Intertitre"/>
      </w:pPr>
      <w:r>
        <w:t xml:space="preserve">Obligations garanties — choisir une seule variante</w:t>
      </w:r>
    </w:p>
    <w:p>
      <w:pPr>
        <w:pStyle w:val="Variante"/>
      </w:pPr>
      <w:r>
        <w:t xml:space="preserve">Variante : Obligations présentes</w:t>
      </w:r>
    </w:p>
    <w:p>
      <w:pPr>
        <w:pStyle w:val="Corps"/>
      </w:pPr>
      <w:r>
        <w:t xml:space="preserve">Les obligations déjà nées sont décrites par [Obligations existantes]. Le principal garanti est de [Principal garanti], sous réserve du décompte et du plafond convenu.</w:t>
      </w:r>
    </w:p>
    <w:p>
      <w:pPr>
        <w:pStyle w:val="Variante"/>
      </w:pPr>
      <w:r>
        <w:t xml:space="preserve">Variante : Obligations futures déterminables</w:t>
      </w:r>
    </w:p>
    <w:p>
      <w:pPr>
        <w:pStyle w:val="Corps"/>
      </w:pPr>
      <w:r>
        <w:t xml:space="preserve">Les obligations futures couvertes répondent aux critères suivants : [Obligations futures]. Leur origine, leur période et leur montant maximal doivent demeurer objectivement déterminables.</w:t>
      </w:r>
    </w:p>
    <w:p>
      <w:pPr>
        <w:pStyle w:val="Intertitre"/>
      </w:pPr>
      <w:r>
        <w:t xml:space="preserve">Montant maximal garanti</w:t>
      </w:r>
    </w:p>
    <w:p>
      <w:pPr>
        <w:pStyle w:val="Corps"/>
      </w:pPr>
      <w:r>
        <w:t xml:space="preserve">Le gage garantit au maximum [Montant maximal garanti], comprenant le principal déclaré, les intérêts définis par [Intérêts garantis] et les accessoires suivants : [Accessoires garantis].</w:t>
      </w:r>
    </w:p>
    <w:p>
      <w:pPr>
        <w:pStyle w:val="Intertitre"/>
      </w:pPr>
      <w:r>
        <w:t xml:space="preserve">Échéance garantie</w:t>
      </w:r>
    </w:p>
    <w:p>
      <w:pPr>
        <w:pStyle w:val="Corps"/>
      </w:pPr>
      <w:r>
        <w:t xml:space="preserve">La dernière échéance déclarée est fixée au [Échéance garantie]. Toute prorogation ou modification du contrat principal doit être rapprochée de l'assiette et de la publicité du gage.</w:t>
      </w:r>
    </w:p>
    <w:p>
      <w:pPr>
        <w:pStyle w:val="Intertitre"/>
      </w:pPr>
      <w:r>
        <w:t xml:space="preserve">Finalité de la dette garantie — choisir une seule variante</w:t>
      </w:r>
    </w:p>
    <w:p>
      <w:pPr>
        <w:pStyle w:val="Variante"/>
      </w:pPr>
      <w:r>
        <w:t xml:space="preserve">Variante : Finalité professionnelle de la dette</w:t>
      </w:r>
    </w:p>
    <w:p>
      <w:pPr>
        <w:pStyle w:val="Corps"/>
      </w:pPr>
      <w:r>
        <w:t xml:space="preserve">Les parties déclarent que les obligations garanties ont une finalité professionnelle. Cette qualification doit être rapprochée du contrat garanti avant toute utilisation de la voie spéciale de vente publique.</w:t>
      </w:r>
    </w:p>
    <w:p>
      <w:pPr>
        <w:pStyle w:val="Variante"/>
      </w:pPr>
      <w:r>
        <w:t xml:space="preserve">Variante : Finalité non professionnelle de la dette</w:t>
      </w:r>
    </w:p>
    <w:p>
      <w:pPr>
        <w:pStyle w:val="Corps"/>
      </w:pPr>
      <w:r>
        <w:t xml:space="preserve">Les obligations garanties sont déclarées non professionnelles. La voie spéciale de vente publique réservée aux dettes professionnelles n'est pas disponible.</w:t>
      </w:r>
    </w:p>
    <w:p>
      <w:pPr>
        <w:pStyle w:val="Intertitre"/>
      </w:pPr>
      <w:r>
        <w:t xml:space="preserve">Propriété et disponibilité</w:t>
      </w:r>
    </w:p>
    <w:p>
      <w:pPr>
        <w:pStyle w:val="Corps"/>
      </w:pPr>
      <w:r>
        <w:t xml:space="preserve">Le Constituant ne peut affecter utilement que les droits dont il dispose. La propriété, les réserves de propriété, les indivisions, les saisies, les interdictions d'aliéner et les droits de tiers sont vérifiés selon que les biens sont présents ou futurs.</w:t>
      </w:r>
    </w:p>
    <w:p>
      <w:pPr>
        <w:pStyle w:val="Intertitre"/>
      </w:pPr>
      <w:r>
        <w:t xml:space="preserve">Clause optionnelle : Justificatif de propriété des biens présents</w:t>
      </w:r>
    </w:p>
    <w:p>
      <w:pPr>
        <w:pStyle w:val="Corps"/>
      </w:pPr>
      <w:r>
        <w:t xml:space="preserve">La propriété déclarée des biens présents résulte de [Titre de propriété]. Les biens ont été acquis le [Date d'acquisition] ; le titre est rapproché de l'inventaire et de l'identité du Constituant.</w:t>
      </w:r>
    </w:p>
    <w:p>
      <w:pPr>
        <w:pStyle w:val="Intertitre"/>
      </w:pPr>
      <w:r>
        <w:t xml:space="preserve">Clause optionnelle : Propriété des biens présents à confirmer</w:t>
      </w:r>
    </w:p>
    <w:p>
      <w:pPr>
        <w:pStyle w:val="Corps"/>
      </w:pPr>
      <w:r>
        <w:t xml:space="preserve">Le titre de propriété des biens présents n'est pas confirmé. L'acte ne doit pas être présenté comme prêt à signer tant que l'origine de propriété et les droits concurrents n'ont pas été vérifiés.</w:t>
      </w:r>
    </w:p>
    <w:p>
      <w:pPr>
        <w:pStyle w:val="Intertitre"/>
      </w:pPr>
      <w:r>
        <w:t xml:space="preserve">Clause optionnelle : Entrée des biens futurs dans le patrimoine</w:t>
      </w:r>
    </w:p>
    <w:p>
      <w:pPr>
        <w:pStyle w:val="Corps"/>
      </w:pPr>
      <w:r>
        <w:t xml:space="preserve">Pour les biens futurs, le Constituant s'oblige à documenter leur acquisition et leur correspondance aux critères d'assiette. Aucun bien appartenant à un tiers ne doit être présenté comme valablement gagé sans contrôle spécifique.</w:t>
      </w:r>
    </w:p>
    <w:p>
      <w:pPr>
        <w:pStyle w:val="Intertitre"/>
      </w:pPr>
      <w:r>
        <w:t xml:space="preserve">Temporalité des biens — choisir une seule variante</w:t>
      </w:r>
    </w:p>
    <w:p>
      <w:pPr>
        <w:pStyle w:val="Variante"/>
      </w:pPr>
      <w:r>
        <w:t xml:space="preserve">Variante : Biens présents</w:t>
      </w:r>
    </w:p>
    <w:p>
      <w:pPr>
        <w:pStyle w:val="Corps"/>
      </w:pPr>
      <w:r>
        <w:t xml:space="preserve">Les biens existent et appartiennent au Constituant à la date de l'acte. Leur identité, leur état, leur quantité et leur localisation sont rapprochés de l'inventaire et des titres.</w:t>
      </w:r>
    </w:p>
    <w:p>
      <w:pPr>
        <w:pStyle w:val="Variante"/>
      </w:pPr>
      <w:r>
        <w:t xml:space="preserve">Variante : Biens futurs</w:t>
      </w:r>
    </w:p>
    <w:p>
      <w:pPr>
        <w:pStyle w:val="Corps"/>
      </w:pPr>
      <w:r>
        <w:t xml:space="preserve">Les biens futurs seront compris dans le gage lorsqu'ils répondront aux critères suivants : [Critères des biens futurs]. Leur entrée dans le patrimoine et leur identification feront l'objet d'une traçabilité vérifiable.</w:t>
      </w:r>
    </w:p>
    <w:p>
      <w:pPr>
        <w:pStyle w:val="Intertitre"/>
      </w:pPr>
      <w:r>
        <w:t xml:space="preserve">Périmètre des biens — choisir une seule variante</w:t>
      </w:r>
    </w:p>
    <w:p>
      <w:pPr>
        <w:pStyle w:val="Variante"/>
      </w:pPr>
      <w:r>
        <w:t xml:space="preserve">Variante : Bien individualisé</w:t>
      </w:r>
    </w:p>
    <w:p>
      <w:pPr>
        <w:pStyle w:val="Corps"/>
      </w:pPr>
      <w:r>
        <w:t xml:space="preserve">Le gage porte sur un bien individualisé par sa nature, sa description, ses numéros et sa localisation. Tout remplacement ou transformation doit être signalé et juridiquement traité.</w:t>
      </w:r>
    </w:p>
    <w:p>
      <w:pPr>
        <w:pStyle w:val="Variante"/>
      </w:pPr>
      <w:r>
        <w:t xml:space="preserve">Variante : Ensemble ou stock de biens</w:t>
      </w:r>
    </w:p>
    <w:p>
      <w:pPr>
        <w:pStyle w:val="Corps"/>
      </w:pPr>
      <w:r>
        <w:t xml:space="preserve">Le gage porte sur [Nombre de lignes d'inventaire] ligne(s) de biens décrites dans le tableau structuré suivant : [Tableau des biens gagés]. Le tableau est mis à jour selon la périodicité [Fréquence de mise à jour] afin de maintenir une assiette identifiable et rapprochable des titres et valeurs.</w:t>
      </w:r>
    </w:p>
    <w:p>
      <w:pPr>
        <w:pStyle w:val="Intertitre"/>
      </w:pPr>
      <w:r>
        <w:t xml:space="preserve">Désignation des biens</w:t>
      </w:r>
    </w:p>
    <w:p>
      <w:pPr>
        <w:pStyle w:val="Corps"/>
      </w:pPr>
      <w:r>
        <w:t xml:space="preserve">Les biens sont décrits comme suit : [Description des biens]. Leur espèce ou nature est [Espèce ou nature des biens], leur quantité [Quantité des biens] [Unité de quantité], leurs identifiants [Numéros d'identification] et leur lieu de conservation [Lieu de conservation].</w:t>
      </w:r>
    </w:p>
    <w:p>
      <w:pPr>
        <w:pStyle w:val="Intertitre"/>
      </w:pPr>
      <w:r>
        <w:t xml:space="preserve">Valeur déclarée</w:t>
      </w:r>
    </w:p>
    <w:p>
      <w:pPr>
        <w:pStyle w:val="Corps"/>
      </w:pPr>
      <w:r>
        <w:t xml:space="preserve">La valeur documentée est de [Valeur des biens] selon la méthode [Méthode de valorisation]. Cette donnée ne remplace ni le prix d'une vente régulière ni l'évaluation exigée lors d'une attribution.</w:t>
      </w:r>
    </w:p>
    <w:p>
      <w:pPr>
        <w:pStyle w:val="Intertitre"/>
      </w:pPr>
      <w:r>
        <w:t xml:space="preserve">Régime des biens — choisir une seule variante</w:t>
      </w:r>
    </w:p>
    <w:p>
      <w:pPr>
        <w:pStyle w:val="Variante"/>
      </w:pPr>
      <w:r>
        <w:t xml:space="preserve">Variante : Meubles corporels ordinaires</w:t>
      </w:r>
    </w:p>
    <w:p>
      <w:pPr>
        <w:pStyle w:val="Corps"/>
      </w:pPr>
      <w:r>
        <w:t xml:space="preserve">Les biens ne sont déclarés ni immobilisés par destination ni soumis à une publicité spéciale de véhicule. Le régime général du gage de meubles corporels est retenu.</w:t>
      </w:r>
    </w:p>
    <w:p>
      <w:pPr>
        <w:pStyle w:val="Variante"/>
      </w:pPr>
      <w:r>
        <w:t xml:space="preserve">Variante : Meubles immobilisés par destination</w:t>
      </w:r>
    </w:p>
    <w:p>
      <w:pPr>
        <w:pStyle w:val="Corps"/>
      </w:pPr>
      <w:r>
        <w:t xml:space="preserve">Les biens sont rattachés à l'immeuble [Immeuble de rattachement]. Les hypothèques et concours déclarés sont [Hypothèques sur l'immeuble] ; l'ordre de préférence dépend des dates de publication des titres respectifs, nonobstant le droit de rétention du Créancier gagiste.</w:t>
      </w:r>
    </w:p>
    <w:p>
      <w:pPr>
        <w:pStyle w:val="Variante"/>
      </w:pPr>
      <w:r>
        <w:t xml:space="preserve">Variante : Véhicule ou remorque immatriculé</w:t>
      </w:r>
    </w:p>
    <w:p>
      <w:pPr>
        <w:pStyle w:val="Corps"/>
      </w:pPr>
      <w:r>
        <w:t xml:space="preserve">Le bien est immatriculé sous [Immatriculation du véhicule] et identifié par [Numéro de série du véhicule]. Sa publicité relève du registre administratif spécial prévu pour ces véhicules.</w:t>
      </w:r>
    </w:p>
    <w:p>
      <w:pPr>
        <w:pStyle w:val="Intertitre"/>
      </w:pPr>
      <w:r>
        <w:t xml:space="preserve">Clause optionnelle : Exclusion des régimes spéciaux</w:t>
      </w:r>
    </w:p>
    <w:p>
      <w:pPr>
        <w:pStyle w:val="Corps"/>
      </w:pPr>
      <w:r>
        <w:t xml:space="preserve">Les biens désignés ne relèvent d’aucun régime spécial non traité par le présent acte. L’analyse de qualification conservée au dossier est référencée [Analyse des régimes spéciaux].</w:t>
      </w:r>
    </w:p>
    <w:p>
      <w:pPr>
        <w:pStyle w:val="Intertitre"/>
      </w:pPr>
      <w:r>
        <w:t xml:space="preserve">Fongibilité — choisir une seule variante</w:t>
      </w:r>
    </w:p>
    <w:p>
      <w:pPr>
        <w:pStyle w:val="Variante"/>
      </w:pPr>
      <w:r>
        <w:t xml:space="preserve">Variante : Biens non fongibles</w:t>
      </w:r>
    </w:p>
    <w:p>
      <w:pPr>
        <w:pStyle w:val="Corps"/>
      </w:pPr>
      <w:r>
        <w:t xml:space="preserve">Les biens sont individualisés et ne peuvent être remplacés par de simples équivalents sans accord et traitement juridique exprès. Leur identité matérielle est maintenue pendant le gage.</w:t>
      </w:r>
    </w:p>
    <w:p>
      <w:pPr>
        <w:pStyle w:val="Variante"/>
      </w:pPr>
      <w:r>
        <w:t xml:space="preserve">Variante : Biens fongibles</w:t>
      </w:r>
    </w:p>
    <w:p>
      <w:pPr>
        <w:pStyle w:val="Corps"/>
      </w:pPr>
      <w:r>
        <w:t xml:space="preserve">Les biens sont fongibles. Leur quantité, leur qualité, leur conservation, leur éventuel mélange, leur aliénation et leur remplacement doivent suivre le régime choisi selon la détention.</w:t>
      </w:r>
    </w:p>
    <w:p>
      <w:pPr>
        <w:pStyle w:val="Intertitre"/>
      </w:pPr>
      <w:r>
        <w:t xml:space="preserve">Écrit constitutif</w:t>
      </w:r>
    </w:p>
    <w:p>
      <w:pPr>
        <w:pStyle w:val="Corps"/>
      </w:pPr>
      <w:r>
        <w:t xml:space="preserve">Le présent écrit désigne la dette garantie, la quantité des biens et leur espèce ou nature. Les annexes d'inventaire complètent cette désignation sans remplacer les mentions nécessaires de l'acte.</w:t>
      </w:r>
    </w:p>
    <w:p>
      <w:pPr>
        <w:pStyle w:val="Intertitre"/>
      </w:pPr>
      <w:r>
        <w:t xml:space="preserve">Constitution du gage</w:t>
      </w:r>
    </w:p>
    <w:p>
      <w:pPr>
        <w:pStyle w:val="Corps"/>
      </w:pPr>
      <w:r>
        <w:t xml:space="preserve">Le Constituant accorde au Créancier un droit de préférence sur l'assiette décrite. L'opposabilité aux tiers résultera exclusivement du mode de publicité ou de dépossession effectivement accompli.</w:t>
      </w:r>
    </w:p>
    <w:p>
      <w:pPr>
        <w:pStyle w:val="Intertitre"/>
      </w:pPr>
      <w:r>
        <w:t xml:space="preserve">Opposabilité — choisir une seule variante</w:t>
      </w:r>
    </w:p>
    <w:p>
      <w:pPr>
        <w:pStyle w:val="Variante"/>
      </w:pPr>
      <w:r>
        <w:t xml:space="preserve">Variante : Gage avec dépossession</w:t>
      </w:r>
    </w:p>
    <w:p>
      <w:pPr>
        <w:pStyle w:val="Corps"/>
      </w:pPr>
      <w:r>
        <w:t xml:space="preserve">Les biens ou le titre qui les représente sont remis au détenteur convenu le [Date de remise], ainsi qu'il résulte de [Procès-verbal de remise]. La remise doit être effective et continue.</w:t>
      </w:r>
    </w:p>
    <w:p>
      <w:pPr>
        <w:pStyle w:val="Variante"/>
      </w:pPr>
      <w:r>
        <w:t xml:space="preserve">Variante : Gage sans dépossession</w:t>
      </w:r>
    </w:p>
    <w:p>
      <w:pPr>
        <w:pStyle w:val="Corps"/>
      </w:pPr>
      <w:r>
        <w:t xml:space="preserve">Les biens demeurent chez le Constituant à [Lieu de conservation]. L'opposabilité suppose l'inscription régulière au registre compétent et le maintien d'une assiette identifiable.</w:t>
      </w:r>
    </w:p>
    <w:p>
      <w:pPr>
        <w:pStyle w:val="Intertitre"/>
      </w:pPr>
      <w:r>
        <w:t xml:space="preserve">Clause optionnelle : Créancier détenteur</w:t>
      </w:r>
    </w:p>
    <w:p>
      <w:pPr>
        <w:pStyle w:val="Corps"/>
      </w:pPr>
      <w:r>
        <w:t xml:space="preserve">Le Créancier reçoit les biens et en assure la garde selon les obligations de conservation, d'usage, de séparation et de restitution prévues par l'acte et la loi.</w:t>
      </w:r>
    </w:p>
    <w:p>
      <w:pPr>
        <w:pStyle w:val="Intertitre"/>
      </w:pPr>
      <w:r>
        <w:t xml:space="preserve">Clause optionnelle : Tiers détenteur convenu</w:t>
      </w:r>
    </w:p>
    <w:p>
      <w:pPr>
        <w:pStyle w:val="Corps"/>
      </w:pPr>
      <w:r>
        <w:t xml:space="preserve">Les biens sont confiés à [Détenteur convenu], à l'adresse [Lieu de détention]. Le tiers accepte sa mission, la conservation, les contrôles, l'interdiction d'usage non autorisé et la restitution.</w:t>
      </w:r>
    </w:p>
    <w:p>
      <w:pPr>
        <w:pStyle w:val="Intertitre"/>
      </w:pPr>
      <w:r>
        <w:t xml:space="preserve">Clause optionnelle : Inscription au registre des sûretés mobilières</w:t>
      </w:r>
    </w:p>
    <w:p>
      <w:pPr>
        <w:pStyle w:val="Corps"/>
      </w:pPr>
      <w:r>
        <w:t xml:space="preserve">Le gage sans dépossession est inscrit auprès de [Greffe compétent] pour [Montant porté à l'inscription]. Le bordereau reprend les parties, la dette, les biens, leur lieu, la durée et les mentions particulières [Mentions du bordereau].</w:t>
      </w:r>
    </w:p>
    <w:p>
      <w:pPr>
        <w:pStyle w:val="Intertitre"/>
      </w:pPr>
      <w:r>
        <w:t xml:space="preserve">Clause optionnelle : Publicité du gage de meubles immobilisés</w:t>
      </w:r>
    </w:p>
    <w:p>
      <w:pPr>
        <w:pStyle w:val="Corps"/>
      </w:pPr>
      <w:r>
        <w:t xml:space="preserve">Le gage sans dépossession de meubles immobilisés par destination doit être inscrit et rapproché des hypothèques affectant l'immeuble afin de déterminer l'ordre de préférence.</w:t>
      </w:r>
    </w:p>
    <w:p>
      <w:pPr>
        <w:pStyle w:val="Intertitre"/>
      </w:pPr>
      <w:r>
        <w:t xml:space="preserve">Clause optionnelle : Publicité spéciale du véhicule</w:t>
      </w:r>
    </w:p>
    <w:p>
      <w:pPr>
        <w:pStyle w:val="Corps"/>
      </w:pPr>
      <w:r>
        <w:t xml:space="preserve">Le gage du véhicule ou de la remorque est publié auprès de l'autorité administrative compétente. L'inscription spéciale et l'absence d'inscription concurrente doivent être contrôlées.</w:t>
      </w:r>
    </w:p>
    <w:p>
      <w:pPr>
        <w:pStyle w:val="Intertitre"/>
      </w:pPr>
      <w:r>
        <w:t xml:space="preserve">Clause optionnelle : Données de publicité confirmées</w:t>
      </w:r>
    </w:p>
    <w:p>
      <w:pPr>
        <w:pStyle w:val="Corps"/>
      </w:pPr>
      <w:r>
        <w:t xml:space="preserve">Les informations du bordereau ou du registre spécial, l'autorité compétente, les identités, la dette, l'assiette et le lieu de conservation ont été rapprochés pour le dépôt ou avec la preuve d'inscription délivrée.</w:t>
      </w:r>
    </w:p>
    <w:p>
      <w:pPr>
        <w:pStyle w:val="Intertitre"/>
      </w:pPr>
      <w:r>
        <w:t xml:space="preserve">Clause optionnelle : Données de publicité incomplètes</w:t>
      </w:r>
    </w:p>
    <w:p>
      <w:pPr>
        <w:pStyle w:val="Corps"/>
      </w:pPr>
      <w:r>
        <w:t xml:space="preserve">Les données nécessaires à la publicité ne sont pas confirmées. Le gage sans dépossession ne doit pas être présenté comme opposable ni prêt à inscrire.</w:t>
      </w:r>
    </w:p>
    <w:p>
      <w:pPr>
        <w:pStyle w:val="Intertitre"/>
      </w:pPr>
      <w:r>
        <w:t xml:space="preserve">Clause optionnelle : Preuve de l'inscription</w:t>
      </w:r>
    </w:p>
    <w:p>
      <w:pPr>
        <w:pStyle w:val="Corps"/>
      </w:pPr>
      <w:r>
        <w:t xml:space="preserve">L'inscription est constatée sous [Référence de l'inscription] et produit effet jusqu'au [Échéance de l'inscription], sous réserve de renouvellement et des événements affectant la sûreté.</w:t>
      </w:r>
    </w:p>
    <w:p>
      <w:pPr>
        <w:pStyle w:val="Intertitre"/>
      </w:pPr>
      <w:r>
        <w:t xml:space="preserve">Clause optionnelle : Preuve de la dépossession</w:t>
      </w:r>
    </w:p>
    <w:p>
      <w:pPr>
        <w:pStyle w:val="Corps"/>
      </w:pPr>
      <w:r>
        <w:t xml:space="preserve">La remise effective et continue des biens est constatée par [Procès-verbal de remise] en date du [Date de remise]. La preuve identifie les biens, leur détenteur et leur lieu de garde.</w:t>
      </w:r>
    </w:p>
    <w:p>
      <w:pPr>
        <w:pStyle w:val="Intertitre"/>
      </w:pPr>
      <w:r>
        <w:t xml:space="preserve">Sûretés antérieures — choisir une seule variante</w:t>
      </w:r>
    </w:p>
    <w:p>
      <w:pPr>
        <w:pStyle w:val="Variante"/>
      </w:pPr>
      <w:r>
        <w:t xml:space="preserve">Variante : Rang et sûretés antérieures</w:t>
      </w:r>
    </w:p>
    <w:p>
      <w:pPr>
        <w:pStyle w:val="Corps"/>
      </w:pPr>
      <w:r>
        <w:t xml:space="preserve">Les droits antérieurs sont décrits par [Sûretés antérieures]. Le rang attendu est [Rang attendu] ; il dépend du mode d'opposabilité, de la date d'inscription, de la possession et des régimes spéciaux.</w:t>
      </w:r>
    </w:p>
    <w:p>
      <w:pPr>
        <w:pStyle w:val="Variante"/>
      </w:pPr>
      <w:r>
        <w:t xml:space="preserve">Variante : Absence déclarée de sûreté antérieure</w:t>
      </w:r>
    </w:p>
    <w:p>
      <w:pPr>
        <w:pStyle w:val="Corps"/>
      </w:pPr>
      <w:r>
        <w:t xml:space="preserve">Aucune sûreté antérieure n'est déclarée. Cette mention ne remplace pas la consultation des registres, des titres, des inscriptions spéciales ni l'examen de la possession effective.</w:t>
      </w:r>
    </w:p>
    <w:p>
      <w:pPr>
        <w:pStyle w:val="Intertitre"/>
      </w:pPr>
      <w:r>
        <w:t xml:space="preserve">Clause optionnelle : Séparation des biens fongibles</w:t>
      </w:r>
    </w:p>
    <w:p>
      <w:pPr>
        <w:pStyle w:val="Corps"/>
      </w:pPr>
      <w:r>
        <w:t xml:space="preserve">Le détenteur conserve les biens fongibles séparément selon [Séparation des biens fongibles]. La quantité et la qualité sont contrôlées sans mélange avec ses propres biens.</w:t>
      </w:r>
    </w:p>
    <w:p>
      <w:pPr>
        <w:pStyle w:val="Intertitre"/>
      </w:pPr>
      <w:r>
        <w:t xml:space="preserve">Clause optionnelle : Dispense de séparation et restitution d'équivalents</w:t>
      </w:r>
    </w:p>
    <w:p>
      <w:pPr>
        <w:pStyle w:val="Corps"/>
      </w:pPr>
      <w:r>
        <w:t xml:space="preserve">La convention dispense le détenteur de séparation selon [Mélange autorisé]. Il acquiert alors la propriété des choses reçues à charge de restituer une quantité équivalente conforme.</w:t>
      </w:r>
    </w:p>
    <w:p>
      <w:pPr>
        <w:pStyle w:val="Intertitre"/>
      </w:pPr>
      <w:r>
        <w:t xml:space="preserve">Clause optionnelle : Aliénation autorisée avec dépossession</w:t>
      </w:r>
    </w:p>
    <w:p>
      <w:pPr>
        <w:pStyle w:val="Corps"/>
      </w:pPr>
      <w:r>
        <w:t xml:space="preserve">Le Constituant peut aliéner les biens fongibles séparés si le détenteur et la convention l'autorisent, à charge de les remplacer conformément à [Remplacement des biens fongibles].</w:t>
      </w:r>
    </w:p>
    <w:p>
      <w:pPr>
        <w:pStyle w:val="Intertitre"/>
      </w:pPr>
      <w:r>
        <w:t xml:space="preserve">Clause optionnelle : Aliénation autorisée sans dépossession</w:t>
      </w:r>
    </w:p>
    <w:p>
      <w:pPr>
        <w:pStyle w:val="Corps"/>
      </w:pPr>
      <w:r>
        <w:t xml:space="preserve">Le Constituant peut aliéner les biens fongibles demeurés en sa possession à charge de les remplacer selon [Remplacement des biens fongibles]. Les sorties et les biens équivalents sont tracés dans l'inventaire.</w:t>
      </w:r>
    </w:p>
    <w:p>
      <w:pPr>
        <w:pStyle w:val="Intertitre"/>
      </w:pPr>
      <w:r>
        <w:t xml:space="preserve">Clause optionnelle : Aliénation des biens fongibles interdite</w:t>
      </w:r>
    </w:p>
    <w:p>
      <w:pPr>
        <w:pStyle w:val="Corps"/>
      </w:pPr>
      <w:r>
        <w:t xml:space="preserve">La convention exclut l'aliénation des biens fongibles pendant le gage. Toute sortie, consommation ou substitution requiert l'accord préalable et une mise à jour de l'assiette.</w:t>
      </w:r>
    </w:p>
    <w:p>
      <w:pPr>
        <w:pStyle w:val="Intertitre"/>
      </w:pPr>
      <w:r>
        <w:t xml:space="preserve">Clause optionnelle : Extension aux biens de remplacement</w:t>
      </w:r>
    </w:p>
    <w:p>
      <w:pPr>
        <w:pStyle w:val="Corps"/>
      </w:pPr>
      <w:r>
        <w:t xml:space="preserve">Lorsque l'aliénation avec remplacement est autorisée, les biens équivalents acquis en remplacement entrent de plein droit dans l'assiette du gage et doivent rester traçables.</w:t>
      </w:r>
    </w:p>
    <w:p>
      <w:pPr>
        <w:pStyle w:val="Intertitre"/>
      </w:pPr>
      <w:r>
        <w:t xml:space="preserve">Conservation des biens</w:t>
      </w:r>
    </w:p>
    <w:p>
      <w:pPr>
        <w:pStyle w:val="Corps"/>
      </w:pPr>
      <w:r>
        <w:t xml:space="preserve">Le détenteur ou le Constituant conserve les biens selon [Norme de conservation]. Il prévient les pertes, dégradations, déplacements et transformations incompatibles avec la sûreté.</w:t>
      </w:r>
    </w:p>
    <w:p>
      <w:pPr>
        <w:pStyle w:val="Intertitre"/>
      </w:pPr>
      <w:r>
        <w:t xml:space="preserve">Clause optionnelle : Dépenses utiles ou nécessaires</w:t>
      </w:r>
    </w:p>
    <w:p>
      <w:pPr>
        <w:pStyle w:val="Corps"/>
      </w:pPr>
      <w:r>
        <w:t xml:space="preserve">Les dépenses utiles ou nécessaires exposées par le Créancier ou le tiers convenu sont documentées comme suit : [Dépenses de conservation] et remboursées selon les justificatifs.</w:t>
      </w:r>
    </w:p>
    <w:p>
      <w:pPr>
        <w:pStyle w:val="Intertitre"/>
      </w:pPr>
      <w:r>
        <w:t xml:space="preserve">Clause optionnelle : Défaillance du détenteur</w:t>
      </w:r>
    </w:p>
    <w:p>
      <w:pPr>
        <w:pStyle w:val="Corps"/>
      </w:pPr>
      <w:r>
        <w:t xml:space="preserve">Si le Créancier ou le tiers détenteur manque à son obligation de conservation, le Constituant peut demander la restitution des biens sans préjudice des dommages-intérêts.</w:t>
      </w:r>
    </w:p>
    <w:p>
      <w:pPr>
        <w:pStyle w:val="Intertitre"/>
      </w:pPr>
      <w:r>
        <w:t xml:space="preserve">Clause optionnelle : Défaillance du Constituant</w:t>
      </w:r>
    </w:p>
    <w:p>
      <w:pPr>
        <w:pStyle w:val="Corps"/>
      </w:pPr>
      <w:r>
        <w:t xml:space="preserve">Si le Constituant ne conserve pas les biens demeurés en sa possession, le Créancier peut invoquer la déchéance du terme ou demander un complément de gage dans les conditions applicables.</w:t>
      </w:r>
    </w:p>
    <w:p>
      <w:pPr>
        <w:pStyle w:val="Intertitre"/>
      </w:pPr>
      <w:r>
        <w:t xml:space="preserve">Clause optionnelle : Fruits des biens</w:t>
      </w:r>
    </w:p>
    <w:p>
      <w:pPr>
        <w:pStyle w:val="Corps"/>
      </w:pPr>
      <w:r>
        <w:t xml:space="preserve">Les fruits et revenus sont traités selon [Fruits et revenus]. Lorsque le Créancier détenteur les perçoit, ils sont imputés sur les intérêts puis, à défaut, sur le capital, sauf convention contraire.</w:t>
      </w:r>
    </w:p>
    <w:p>
      <w:pPr>
        <w:pStyle w:val="Intertitre"/>
      </w:pPr>
      <w:r>
        <w:t xml:space="preserve">Clause optionnelle : Usage des biens</w:t>
      </w:r>
    </w:p>
    <w:p>
      <w:pPr>
        <w:pStyle w:val="Corps"/>
      </w:pPr>
      <w:r>
        <w:t xml:space="preserve">L'usage des biens par le détenteur est défini par [Usage des biens]. Toute utilisation non autorisée, consommation, transformation ou mise à disposition constitue un manquement à la garde.</w:t>
      </w:r>
    </w:p>
    <w:p>
      <w:pPr>
        <w:pStyle w:val="Intertitre"/>
      </w:pPr>
      <w:r>
        <w:t xml:space="preserve">Clause optionnelle : Assurance</w:t>
      </w:r>
    </w:p>
    <w:p>
      <w:pPr>
        <w:pStyle w:val="Corps"/>
      </w:pPr>
      <w:r>
        <w:t xml:space="preserve">Les biens demeurent couverts par la police [Police d'assurance] selon [Couverture d'assurance]. Toute suspension, réduction, résiliation ou sinistre est signalé sans délai.</w:t>
      </w:r>
    </w:p>
    <w:p>
      <w:pPr>
        <w:pStyle w:val="Intertitre"/>
      </w:pPr>
      <w:r>
        <w:t xml:space="preserve">Clause optionnelle : Inspection et inventaire</w:t>
      </w:r>
    </w:p>
    <w:p>
      <w:pPr>
        <w:pStyle w:val="Corps"/>
      </w:pPr>
      <w:r>
        <w:t xml:space="preserve">Le Créancier exerce les contrôles définis par [Droits d'inspection] et reçoit un inventaire actualisé. Les vérifications sont proportionnées et n'emportent pas prise de gestion.</w:t>
      </w:r>
    </w:p>
    <w:p>
      <w:pPr>
        <w:pStyle w:val="Intertitre"/>
      </w:pPr>
      <w:r>
        <w:t xml:space="preserve">Information sur les biens</w:t>
      </w:r>
    </w:p>
    <w:p>
      <w:pPr>
        <w:pStyle w:val="Corps"/>
      </w:pPr>
      <w:r>
        <w:t xml:space="preserve">Le Constituant communique les événements et documents suivants : [Obligations d'information]. Les saisies, sinistres, déplacements, dégradations et revendications de tiers sont signalés.</w:t>
      </w:r>
    </w:p>
    <w:p>
      <w:pPr>
        <w:pStyle w:val="Intertitre"/>
      </w:pPr>
      <w:r>
        <w:t xml:space="preserve">Cas de défaillance</w:t>
      </w:r>
    </w:p>
    <w:p>
      <w:pPr>
        <w:pStyle w:val="Corps"/>
      </w:pPr>
      <w:r>
        <w:t xml:space="preserve">Les événements ouvrant les remèdes sont définis par [Cas de défaillance]. Leur constatation, l'exigibilité de la dette et les notifications sont établies avant toute réalisation.</w:t>
      </w:r>
    </w:p>
    <w:p>
      <w:pPr>
        <w:pStyle w:val="Intertitre"/>
      </w:pPr>
      <w:r>
        <w:t xml:space="preserve">Réalisation — choisir une seule variante</w:t>
      </w:r>
    </w:p>
    <w:p>
      <w:pPr>
        <w:pStyle w:val="Variante"/>
      </w:pPr>
      <w:r>
        <w:t xml:space="preserve">Variante : Vente selon les voies d'exécution</w:t>
      </w:r>
    </w:p>
    <w:p>
      <w:pPr>
        <w:pStyle w:val="Corps"/>
      </w:pPr>
      <w:r>
        <w:t xml:space="preserve">À défaut de paiement, le Créancier peut poursuivre la vente du bien selon le code des procédures civiles d'exécution. La convention ne peut déroger à ces modalités impératives.</w:t>
      </w:r>
    </w:p>
    <w:p>
      <w:pPr>
        <w:pStyle w:val="Variante"/>
      </w:pPr>
      <w:r>
        <w:t xml:space="preserve">Variante : Vente publique d'une dette professionnelle</w:t>
      </w:r>
    </w:p>
    <w:p>
      <w:pPr>
        <w:pStyle w:val="Corps"/>
      </w:pPr>
      <w:r>
        <w:t xml:space="preserve">Lorsque la dette garantie est professionnelle, la vente publique est confiée à [Officier chargé de la vente] après un délai de [Délai légal avant vente publique professionnelle] jours suivant la signification décrite comme suit : [Signification préalable]. Cette signification est faite au Débiteur et, s'il est distinct, au tiers Constituant.</w:t>
      </w:r>
    </w:p>
    <w:p>
      <w:pPr>
        <w:pStyle w:val="Variante"/>
      </w:pPr>
      <w:r>
        <w:t xml:space="preserve">Variante : Attribution judiciaire</w:t>
      </w:r>
    </w:p>
    <w:p>
      <w:pPr>
        <w:pStyle w:val="Corps"/>
      </w:pPr>
      <w:r>
        <w:t xml:space="preserve">Le Créancier peut demander en justice que les biens lui demeurent en paiement. La décision est référencée [Attribution judiciaire] et l'excédent éventuel est versé ou consigné.</w:t>
      </w:r>
    </w:p>
    <w:p>
      <w:pPr>
        <w:pStyle w:val="Variante"/>
      </w:pPr>
      <w:r>
        <w:t xml:space="preserve">Variante : Pacte commissoire</w:t>
      </w:r>
    </w:p>
    <w:p>
      <w:pPr>
        <w:pStyle w:val="Corps"/>
      </w:pPr>
      <w:r>
        <w:t xml:space="preserve">En cas de défaillance, le transfert de propriété suit [Pacte commissoire]. La valeur est fixée au jour du transfert selon [Expertise de réalisation], sauf cotation officielle applicable.</w:t>
      </w:r>
    </w:p>
    <w:p>
      <w:pPr>
        <w:pStyle w:val="Intertitre"/>
      </w:pPr>
      <w:r>
        <w:t xml:space="preserve">Clause optionnelle : Valeur et excédent</w:t>
      </w:r>
    </w:p>
    <w:p>
      <w:pPr>
        <w:pStyle w:val="Corps"/>
      </w:pPr>
      <w:r>
        <w:t xml:space="preserve">La valeur de réalisation est [Valeur de réalisation] et la dette exigible [Dette à la réalisation]. L'excédent de [Excédent] est versé au Constituant ou consigné en présence de créanciers gagistes concurrents.</w:t>
      </w:r>
    </w:p>
    <w:p>
      <w:pPr>
        <w:pStyle w:val="Intertitre"/>
      </w:pPr>
      <w:r>
        <w:t xml:space="preserve">Clause optionnelle : Preuve de réalisation</w:t>
      </w:r>
    </w:p>
    <w:p>
      <w:pPr>
        <w:pStyle w:val="Corps"/>
      </w:pPr>
      <w:r>
        <w:t xml:space="preserve">La réalisation est documentée sous [Référence de la vente]. Les notifications, la méthode, la valeur, les frais, l'imputation et le traitement de l'excédent sont conservés avec le dossier.</w:t>
      </w:r>
    </w:p>
    <w:p>
      <w:pPr>
        <w:pStyle w:val="Intertitre"/>
      </w:pPr>
      <w:r>
        <w:t xml:space="preserve">Indivisibilité du gage</w:t>
      </w:r>
    </w:p>
    <w:p>
      <w:pPr>
        <w:pStyle w:val="Corps"/>
      </w:pPr>
      <w:r>
        <w:t xml:space="preserve">Le gage demeure indivisible nonobstant la divisibilité de la dette entre les héritiers du Débiteur ou ceux du Créancier. Aucune fraction des biens n'est libérée avant paiement complet, sauf mainlevée régulière.</w:t>
      </w:r>
    </w:p>
    <w:p>
      <w:pPr>
        <w:pStyle w:val="Intertitre"/>
      </w:pPr>
      <w:r>
        <w:t xml:space="preserve">Mainlevée</w:t>
      </w:r>
    </w:p>
    <w:p>
      <w:pPr>
        <w:pStyle w:val="Corps"/>
      </w:pPr>
      <w:r>
        <w:t xml:space="preserve">La mainlevée intervient dès que la réalisation des conditions suivantes est établie : [Conditions de mainlevée]. Elle précise l'extinction ou la réduction de la sûreté et les formalités encore nécessaires.</w:t>
      </w:r>
    </w:p>
    <w:p>
      <w:pPr>
        <w:pStyle w:val="Intertitre"/>
      </w:pPr>
      <w:r>
        <w:t xml:space="preserve">Clause optionnelle : Restitution des biens</w:t>
      </w:r>
    </w:p>
    <w:p>
      <w:pPr>
        <w:pStyle w:val="Corps"/>
      </w:pPr>
      <w:r>
        <w:t xml:space="preserve">Après extinction complète des sommes garanties ou mainlevée régulière, les biens déposés sont restitués au Constituant. Leur état et leur remise sont constatés par [Procès-verbal de restitution].</w:t>
      </w:r>
    </w:p>
    <w:p>
      <w:pPr>
        <w:pStyle w:val="Intertitre"/>
      </w:pPr>
      <w:r>
        <w:t xml:space="preserve">Clause optionnelle : Radiation de l'inscription</w:t>
      </w:r>
    </w:p>
    <w:p>
      <w:pPr>
        <w:pStyle w:val="Corps"/>
      </w:pPr>
      <w:r>
        <w:t xml:space="preserve">La radiation est demandée après extinction complète ou mainlevée régulière. Elle ne doit pas être confondue avec une simple restitution matérielle ni intervenir avant paiement des sommes garanties.</w:t>
      </w:r>
    </w:p>
    <w:p>
      <w:pPr>
        <w:pStyle w:val="Intertitre"/>
      </w:pPr>
      <w:r>
        <w:t xml:space="preserve">Frais et notifications</w:t>
      </w:r>
    </w:p>
    <w:p>
      <w:pPr>
        <w:pStyle w:val="Corps"/>
      </w:pPr>
      <w:r>
        <w:t xml:space="preserve">Les frais sont répartis selon [Répartition des frais]. Les notifications sont adressées aux coordonnées [Adresses de notification] avec un procédé permettant d'en établir la date et le contenu.</w:t>
      </w:r>
    </w:p>
    <w:p>
      <w:pPr>
        <w:pStyle w:val="Intertitre"/>
      </w:pPr>
      <w:r>
        <w:t xml:space="preserve">Annexes</w:t>
      </w:r>
    </w:p>
    <w:p>
      <w:pPr>
        <w:pStyle w:val="Corps"/>
      </w:pPr>
      <w:r>
        <w:t xml:space="preserve">Sont annexés : [Annexes]. Le dossier comprend notamment le contrat garanti, les pouvoirs, les titres, l'inventaire, les photographies, les assurances, les états de publicité et les procès-verbaux de remise.</w:t>
      </w:r>
    </w:p>
    <w:p>
      <w:pPr>
        <w:pStyle w:val="Intertitre"/>
      </w:pPr>
      <w:r>
        <w:t xml:space="preserve">État du document — choisir une seule variante</w:t>
      </w:r>
    </w:p>
    <w:p>
      <w:pPr>
        <w:pStyle w:val="Variante"/>
      </w:pPr>
      <w:r>
        <w:t xml:space="preserve">Variante : Projet d'acte</w:t>
      </w:r>
    </w:p>
    <w:p>
      <w:pPr>
        <w:pStyle w:val="Corps"/>
      </w:pPr>
      <w:r>
        <w:t xml:space="preserve">Le document demeure un projet tant que les parties, la dette, les biens, la propriété, le mode d'opposabilité et les données de publicité n'ont pas été confirmés.</w:t>
      </w:r>
    </w:p>
    <w:p>
      <w:pPr>
        <w:pStyle w:val="Variante"/>
      </w:pPr>
      <w:r>
        <w:t xml:space="preserve">Variante : Acte signé</w:t>
      </w:r>
    </w:p>
    <w:p>
      <w:pPr>
        <w:pStyle w:val="Corps"/>
      </w:pPr>
      <w:r>
        <w:t xml:space="preserve">L'acte écrit constitue le gage entre les parties. À l'égard des tiers, la seule signature ne suffit pas : l'opposabilité résulte de la dépossession effective ou de la publicité effectivement accomplie.</w:t>
      </w:r>
    </w:p>
    <w:p>
      <w:pPr>
        <w:pStyle w:val="Variante"/>
      </w:pPr>
      <w:r>
        <w:t xml:space="preserve">Variante : Opposabilité accomplie</w:t>
      </w:r>
    </w:p>
    <w:p>
      <w:pPr>
        <w:pStyle w:val="Corps"/>
      </w:pPr>
      <w:r>
        <w:t xml:space="preserve">Le mode d'opposabilité déclaré a été accompli. Sa date, sa continuité, son rang et sa durée sont appréciés d'après les preuves de remise ou d'inscription.</w:t>
      </w:r>
    </w:p>
    <w:p>
      <w:pPr>
        <w:pStyle w:val="Variante"/>
      </w:pPr>
      <w:r>
        <w:t xml:space="preserve">Variante : Réalisation du gage</w:t>
      </w:r>
    </w:p>
    <w:p>
      <w:pPr>
        <w:pStyle w:val="Corps"/>
      </w:pPr>
      <w:r>
        <w:t xml:space="preserve">La sûreté est mise en œuvre après constatation de la défaillance. La voie retenue, les notifications, la valeur, le prix et l'excédent sont documentés sans raccourci contractuel.</w:t>
      </w:r>
    </w:p>
    <w:p>
      <w:pPr>
        <w:pStyle w:val="Intertitre"/>
      </w:pPr>
      <w:r>
        <w:t xml:space="preserve">Clause optionnelle : Acceptation du tiers détenteur</w:t>
      </w:r>
    </w:p>
    <w:p>
      <w:pPr>
        <w:pStyle w:val="Corps"/>
      </w:pPr>
      <w:r>
        <w:t xml:space="preserve">Le tiers détenteur accepte expressément la remise et les obligations de garde prévues par l'acte. Il signe sous [Signature du tiers détenteur] après vérification de son identité et de ses pouvoirs.</w:t>
      </w:r>
    </w:p>
    <w:p>
      <w:pPr>
        <w:pStyle w:val="Intertitre"/>
      </w:pPr>
      <w:r>
        <w:t xml:space="preserve">Signatures du Constituant et du Créancier</w:t>
      </w:r>
    </w:p>
    <w:p>
      <w:pPr>
        <w:pStyle w:val="Corps"/>
      </w:pPr>
      <w:r>
        <w:t xml:space="preserve">Le Constituant signe sous [Signature du Constituant] et le Créancier sous [Signature du Créancier]. Chaque signataire indique sa qualité et atteste disposer des pouvoirs nécessaires à l'acte.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