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NANTISSEMENT DE PARTS SOCIALES</w:t>
      </w:r>
    </w:p>
    <w:p>
      <w:pPr>
        <w:pStyle w:val="Intertitre"/>
      </w:pPr>
      <w:r>
        <w:t xml:space="preserve">Type de Constituant — choisir une seule variante</w:t>
      </w:r>
    </w:p>
    <w:p>
      <w:pPr>
        <w:pStyle w:val="Variante"/>
      </w:pPr>
      <w:r>
        <w:t xml:space="preserve">Variante : Constituant personne morale</w:t>
      </w:r>
    </w:p>
    <w:p>
      <w:pPr>
        <w:pStyle w:val="Corps"/>
      </w:pPr>
      <w:r>
        <w:t xml:space="preserve">Le nantissement est consenti par [Constituant], [Forme ou état civil du Constituant], ayant son siège [Adresse du Constituant], immatriculé sous [Immatriculation du Constituant], représenté par [Représentant du Constituant], agissant en qualité de [Qualité du représentant du Constituant], ci-après le Constituant.</w:t>
      </w:r>
    </w:p>
    <w:p>
      <w:pPr>
        <w:pStyle w:val="Variante"/>
      </w:pPr>
      <w:r>
        <w:t xml:space="preserve">Variante : Constituant personne physique</w:t>
      </w:r>
    </w:p>
    <w:p>
      <w:pPr>
        <w:pStyle w:val="Corps"/>
      </w:pPr>
      <w:r>
        <w:t xml:space="preserve">Le nantissement est consenti par [Constituant], né(e) [Naissance du Constituant], de nationalité [Nationalité du Constituant], demeurant [Adresse du Constituant], dont la situation familiale et patrimoniale utile est [Situation familiale et patrimoniale du Constituant], agissant en son nom personnel, ci-après le Constituant.</w:t>
      </w:r>
    </w:p>
    <w:p>
      <w:pPr>
        <w:pStyle w:val="Intertitre"/>
      </w:pPr>
      <w:r>
        <w:t xml:space="preserve">Type de Créancier nanti — choisir une seule variante</w:t>
      </w:r>
    </w:p>
    <w:p>
      <w:pPr>
        <w:pStyle w:val="Variante"/>
      </w:pPr>
      <w:r>
        <w:t xml:space="preserve">Variante : Créancier nanti personne morale</w:t>
      </w:r>
    </w:p>
    <w:p>
      <w:pPr>
        <w:pStyle w:val="Corps"/>
      </w:pPr>
      <w:r>
        <w:t xml:space="preserve">Le nantissement est constitué au profit de [Créancier nanti], [Forme ou état civil du Créancier nanti], ayant son siège [Adresse du Créancier nanti], immatriculé sous [Immatriculation du Créancier nanti], représenté par [Représentant du Créancier nanti], agissant en qualité de [Qualité du représentant du Créancier nanti], ci-après le Créancier nanti.</w:t>
      </w:r>
    </w:p>
    <w:p>
      <w:pPr>
        <w:pStyle w:val="Variante"/>
      </w:pPr>
      <w:r>
        <w:t xml:space="preserve">Variante : Créancier nanti personne physique</w:t>
      </w:r>
    </w:p>
    <w:p>
      <w:pPr>
        <w:pStyle w:val="Corps"/>
      </w:pPr>
      <w:r>
        <w:t xml:space="preserve">Le nantissement est constitué au profit de [Créancier nanti], né(e) [Naissance du Créancier nanti], de nationalité [Nationalité du Créancier nanti], demeurant [Adresse du Créancier nanti], dont la situation familiale et patrimoniale utile est [Situation familiale et patrimoniale du Créancier nanti], agissant en son nom personnel, ci-après le Créancier nanti.</w:t>
      </w:r>
    </w:p>
    <w:p>
      <w:pPr>
        <w:pStyle w:val="Intertitre"/>
      </w:pPr>
      <w:r>
        <w:t xml:space="preserve">Débiteur garanti — choisir une seule variante</w:t>
      </w:r>
    </w:p>
    <w:p>
      <w:pPr>
        <w:pStyle w:val="Variante"/>
      </w:pPr>
      <w:r>
        <w:t xml:space="preserve">Variante : Débiteur garanti</w:t>
      </w:r>
    </w:p>
    <w:p>
      <w:pPr>
        <w:pStyle w:val="Corps"/>
      </w:pPr>
      <w:r>
        <w:t xml:space="preserve">Le Constituant est également débiteur des obligations garanties ; son identification vaut pour ces deux qualités.</w:t>
      </w:r>
    </w:p>
    <w:p>
      <w:pPr>
        <w:pStyle w:val="Variante"/>
      </w:pPr>
      <w:r>
        <w:t xml:space="preserve">Variante : Débiteur garanti distinct</w:t>
      </w:r>
    </w:p>
    <w:p>
      <w:pPr>
        <w:pStyle w:val="Corps"/>
      </w:pPr>
      <w:r>
        <w:t xml:space="preserve">Les obligations garanties sont dues par [Débiteur garanti distinct], identifié comme suit : [Identification du Débiteur garanti]. Le Constituant affecte ses parts en garantie de la dette de ce tiers dans les limites du présent acte.</w:t>
      </w:r>
    </w:p>
    <w:p>
      <w:pPr>
        <w:pStyle w:val="Intertitre"/>
      </w:pPr>
      <w:r>
        <w:t xml:space="preserve">Société concernée</w:t>
      </w:r>
    </w:p>
    <w:p>
      <w:pPr>
        <w:pStyle w:val="Corps"/>
      </w:pPr>
      <w:r>
        <w:t xml:space="preserve">Les parts nanties sont émises par [Société dont les parts sont nanties], [Forme de la société], au capital de [Capital social], ayant son siège [Siège social], immatriculée sous [Immatriculation de la société], représentée par [Représentant de la société].</w:t>
      </w:r>
    </w:p>
    <w:p>
      <w:pPr>
        <w:pStyle w:val="Intertitre"/>
      </w:pPr>
      <w:r>
        <w:t xml:space="preserve">Capacité et pouvoirs</w:t>
      </w:r>
    </w:p>
    <w:p>
      <w:pPr>
        <w:pStyle w:val="Corps"/>
      </w:pPr>
      <w:r>
        <w:t xml:space="preserve">Chaque signataire justifie de sa capacité et de ses pouvoirs. Les décisions sociales, délégations, régime matrimonial, indivision et conventions réglementées éventuelles sont contrôlés avant signature.</w:t>
      </w:r>
    </w:p>
    <w:p>
      <w:pPr>
        <w:pStyle w:val="Intertitre"/>
      </w:pPr>
      <w:r>
        <w:t xml:space="preserve">Contrat garanti</w:t>
      </w:r>
    </w:p>
    <w:p>
      <w:pPr>
        <w:pStyle w:val="Corps"/>
      </w:pPr>
      <w:r>
        <w:t xml:space="preserve">Les obligations garanties résultent du contrat conclu le [Date du contrat garanti] sous la référence [Référence du contrat garanti]. Le nantissement en est l'accessoire sans modifier l'exigibilité de la dette.</w:t>
      </w:r>
    </w:p>
    <w:p>
      <w:pPr>
        <w:pStyle w:val="Intertitre"/>
      </w:pPr>
      <w:r>
        <w:t xml:space="preserve">Obligations garanties — choisir une seule variante</w:t>
      </w:r>
    </w:p>
    <w:p>
      <w:pPr>
        <w:pStyle w:val="Variante"/>
      </w:pPr>
      <w:r>
        <w:t xml:space="preserve">Variante : Obligations garanties existantes</w:t>
      </w:r>
    </w:p>
    <w:p>
      <w:pPr>
        <w:pStyle w:val="Corps"/>
      </w:pPr>
      <w:r>
        <w:t xml:space="preserve">Le nantissement garantit les obligations déjà nées suivantes : [Obligations garanties existantes], pour un principal de [Principal garanti], venant à échéance le [Échéance garantie].</w:t>
      </w:r>
    </w:p>
    <w:p>
      <w:pPr>
        <w:pStyle w:val="Variante"/>
      </w:pPr>
      <w:r>
        <w:t xml:space="preserve">Variante : Obligations garanties futures déterminables</w:t>
      </w:r>
    </w:p>
    <w:p>
      <w:pPr>
        <w:pStyle w:val="Corps"/>
      </w:pPr>
      <w:r>
        <w:t xml:space="preserve">Le nantissement garantit les obligations futures déterminables selon [Obligations garanties futures]. Leur origine, leur période de naissance et leur montant maximal sont délimités par l'acte et le contrat garanti.</w:t>
      </w:r>
    </w:p>
    <w:p>
      <w:pPr>
        <w:pStyle w:val="Intertitre"/>
      </w:pPr>
      <w:r>
        <w:t xml:space="preserve">Plafond garanti</w:t>
      </w:r>
    </w:p>
    <w:p>
      <w:pPr>
        <w:pStyle w:val="Corps"/>
      </w:pPr>
      <w:r>
        <w:t xml:space="preserve">Le montant maximal garanti est fixé à [Montant maximal garanti]. Il comprend le principal de [Principal garanti], les intérêts selon [Intérêts garantis] et les accessoires suivants : [Accessoires garantis].</w:t>
      </w:r>
    </w:p>
    <w:p>
      <w:pPr>
        <w:pStyle w:val="Intertitre"/>
      </w:pPr>
      <w:r>
        <w:t xml:space="preserve">Clause optionnelle : Sûreté constituée pour autrui</w:t>
      </w:r>
    </w:p>
    <w:p>
      <w:pPr>
        <w:pStyle w:val="Corps"/>
      </w:pPr>
      <w:r>
        <w:t xml:space="preserve">Le Constituant, distinct du Débiteur garanti, reconnaît que les parts sont exposées à la réalisation en cas de défaillance de ce tiers, dans la limite du plafond garanti.</w:t>
      </w:r>
    </w:p>
    <w:p>
      <w:pPr>
        <w:pStyle w:val="Intertitre"/>
      </w:pPr>
      <w:r>
        <w:t xml:space="preserve">Contexte social</w:t>
      </w:r>
    </w:p>
    <w:p>
      <w:pPr>
        <w:pStyle w:val="Corps"/>
      </w:pPr>
      <w:r>
        <w:t xml:space="preserve">La société exerce l'activité suivante : [Objet social]. Ses statuts à jour sont datés du [Date des statuts à jour] et prévoient la règle d'agrément suivante : [Règle statutaire d'agrément]. Les autres associés sont : [Autres associés].</w:t>
      </w:r>
    </w:p>
    <w:p>
      <w:pPr>
        <w:pStyle w:val="Intertitre"/>
      </w:pPr>
      <w:r>
        <w:t xml:space="preserve">Désignation des parts nanties</w:t>
      </w:r>
    </w:p>
    <w:p>
      <w:pPr>
        <w:pStyle w:val="Corps"/>
      </w:pPr>
      <w:r>
        <w:t xml:space="preserve">Le nantissement porte sur [Nombre de parts nanties] parts d'une valeur nominale unitaire de [Valeur nominale unitaire], numérotées ou identifiées comme suit : [Numéros des parts nanties], représentant une valeur nominale totale de [Valeur nominale totale].</w:t>
      </w:r>
    </w:p>
    <w:p>
      <w:pPr>
        <w:pStyle w:val="Intertitre"/>
      </w:pPr>
      <w:r>
        <w:t xml:space="preserve">Propriété et disponibilité</w:t>
      </w:r>
    </w:p>
    <w:p>
      <w:pPr>
        <w:pStyle w:val="Corps"/>
      </w:pPr>
      <w:r>
        <w:t xml:space="preserve">Le Constituant justifie la propriété des parts par le titre [Titre de propriété des parts] daté du [Date d'acquisition des parts]. Leur libération est décrite par [Libération des parts] et leur situation juridique par [Situation des parts].</w:t>
      </w:r>
    </w:p>
    <w:p>
      <w:pPr>
        <w:pStyle w:val="Intertitre"/>
      </w:pPr>
      <w:r>
        <w:t xml:space="preserve">Assiette en parts — choisir une seule variante</w:t>
      </w:r>
    </w:p>
    <w:p>
      <w:pPr>
        <w:pStyle w:val="Variante"/>
      </w:pPr>
      <w:r>
        <w:t xml:space="preserve">Variante : Totalité des parts détenues</w:t>
      </w:r>
    </w:p>
    <w:p>
      <w:pPr>
        <w:pStyle w:val="Corps"/>
      </w:pPr>
      <w:r>
        <w:t xml:space="preserve">Le nantissement comprend la totalité des parts actuellement détenues par le Constituant dans la société, soit les parts identifiées dans l'acte, sans extension automatique aux parts acquises ultérieurement.</w:t>
      </w:r>
    </w:p>
    <w:p>
      <w:pPr>
        <w:pStyle w:val="Variante"/>
      </w:pPr>
      <w:r>
        <w:t xml:space="preserve">Variante : Sous-ensemble de parts</w:t>
      </w:r>
    </w:p>
    <w:p>
      <w:pPr>
        <w:pStyle w:val="Corps"/>
      </w:pPr>
      <w:r>
        <w:t xml:space="preserve">Le nantissement est limité au sous-ensemble suivant : [Sous-ensemble de parts nanti]. Les parts non désignées restent hors de l'assiette, même si elles sont détenues dans la même société.</w:t>
      </w:r>
    </w:p>
    <w:p>
      <w:pPr>
        <w:pStyle w:val="Intertitre"/>
      </w:pPr>
      <w:r>
        <w:t xml:space="preserve">Valeur de référence</w:t>
      </w:r>
    </w:p>
    <w:p>
      <w:pPr>
        <w:pStyle w:val="Corps"/>
      </w:pPr>
      <w:r>
        <w:t xml:space="preserve">La valeur estimative retenue à la constitution est [Valeur estimative des parts]. Elle ne préjuge ni du prix de vente ni de la valeur déterminée par expert au jour d'un éventuel transfert.</w:t>
      </w:r>
    </w:p>
    <w:p>
      <w:pPr>
        <w:pStyle w:val="Intertitre"/>
      </w:pPr>
      <w:r>
        <w:t xml:space="preserve">Forme sociale — choisir une seule variante</w:t>
      </w:r>
    </w:p>
    <w:p>
      <w:pPr>
        <w:pStyle w:val="Variante"/>
      </w:pPr>
      <w:r>
        <w:t xml:space="preserve">Variante : Parts de société civile</w:t>
      </w:r>
    </w:p>
    <w:p>
      <w:pPr>
        <w:pStyle w:val="Corps"/>
      </w:pPr>
      <w:r>
        <w:t xml:space="preserve">Les parts relèvent du régime des sociétés civiles. Leur nantissement est soumis au droit commun applicable aux meubles incorporels et aux règles spécifiques d'agrément et de réalisation des articles 1866 à 1868 du Code civil.</w:t>
      </w:r>
    </w:p>
    <w:p>
      <w:pPr>
        <w:pStyle w:val="Variante"/>
      </w:pPr>
      <w:r>
        <w:t xml:space="preserve">Variante : Parts de SARL</w:t>
      </w:r>
    </w:p>
    <w:p>
      <w:pPr>
        <w:pStyle w:val="Corps"/>
      </w:pPr>
      <w:r>
        <w:t xml:space="preserve">Les parts relèvent du régime de la société à responsabilité limitée. Le consentement au projet suit les conditions de l'agrément d'une cession à un tiers et peut produire l'effet prévu lors d'une réalisation forcée.</w:t>
      </w:r>
    </w:p>
    <w:p>
      <w:pPr>
        <w:pStyle w:val="Variante"/>
      </w:pPr>
      <w:r>
        <w:t xml:space="preserve">Variante : Parts de SNC</w:t>
      </w:r>
    </w:p>
    <w:p>
      <w:pPr>
        <w:pStyle w:val="Corps"/>
      </w:pPr>
      <w:r>
        <w:t xml:space="preserve">Les parts relèvent du régime de la société en nom collectif. Elles ne sont pas des titres négociables et leur transfert exige le consentement unanime des associés ; toute réalisation doit intégrer cette restriction.</w:t>
      </w:r>
    </w:p>
    <w:p>
      <w:pPr>
        <w:pStyle w:val="Intertitre"/>
      </w:pPr>
      <w:r>
        <w:t xml:space="preserve">Agrément du projet — choisir une seule variante</w:t>
      </w:r>
    </w:p>
    <w:p>
      <w:pPr>
        <w:pStyle w:val="Variante"/>
      </w:pPr>
      <w:r>
        <w:t xml:space="preserve">Variante : Agrément obtenu</w:t>
      </w:r>
    </w:p>
    <w:p>
      <w:pPr>
        <w:pStyle w:val="Corps"/>
      </w:pPr>
      <w:r>
        <w:t xml:space="preserve">Le projet de nantissement a été approuvé le [Date de la décision d'agrément] selon la décision [Référence de la décision d'agrément]. Son périmètre exact est : [Périmètre de l'agrément].</w:t>
      </w:r>
    </w:p>
    <w:p>
      <w:pPr>
        <w:pStyle w:val="Variante"/>
      </w:pPr>
      <w:r>
        <w:t xml:space="preserve">Variante : Agrément demandé et en attente</w:t>
      </w:r>
    </w:p>
    <w:p>
      <w:pPr>
        <w:pStyle w:val="Corps"/>
      </w:pPr>
      <w:r>
        <w:t xml:space="preserve">La demande d'agrément a été adressée le [Date de demande d'agrément] par [Mode de demande d'agrément]. Aucune décision définitive n'est encore constatée et aucun agrément ne doit être présumé.</w:t>
      </w:r>
    </w:p>
    <w:p>
      <w:pPr>
        <w:pStyle w:val="Variante"/>
      </w:pPr>
      <w:r>
        <w:t xml:space="preserve">Variante : Agrément non sollicité</w:t>
      </w:r>
    </w:p>
    <w:p>
      <w:pPr>
        <w:pStyle w:val="Corps"/>
      </w:pPr>
      <w:r>
        <w:t xml:space="preserve">Aucune demande d'agrément préalable n'a été effectuée. L'acte distingue la validité du nantissement, sa publicité et les restrictions qui pourront affecter l'acquéreur lors de la réalisation.</w:t>
      </w:r>
    </w:p>
    <w:p>
      <w:pPr>
        <w:pStyle w:val="Intertitre"/>
      </w:pPr>
      <w:r>
        <w:t xml:space="preserve">Clause optionnelle : Effet de l'agrément en société civile</w:t>
      </w:r>
    </w:p>
    <w:p>
      <w:pPr>
        <w:pStyle w:val="Corps"/>
      </w:pPr>
      <w:r>
        <w:t xml:space="preserve">Le consentement obtenu au projet emportera agrément du cessionnaire en cas de réalisation forcée, sous réserve de la notification préalable et des facultés de substitution prévues par la loi.</w:t>
      </w:r>
    </w:p>
    <w:p>
      <w:pPr>
        <w:pStyle w:val="Intertitre"/>
      </w:pPr>
      <w:r>
        <w:t xml:space="preserve">Clause optionnelle : Effet de l'agrément en SARL</w:t>
      </w:r>
    </w:p>
    <w:p>
      <w:pPr>
        <w:pStyle w:val="Corps"/>
      </w:pPr>
      <w:r>
        <w:t xml:space="preserve">Le consentement de la société au projet emportera agrément du cessionnaire en cas de réalisation forcée, sauf rachat sans délai des parts par la société en vue de réduire son capital.</w:t>
      </w:r>
    </w:p>
    <w:p>
      <w:pPr>
        <w:pStyle w:val="Intertitre"/>
      </w:pPr>
      <w:r>
        <w:t xml:space="preserve">Clause optionnelle : Consentement unanime en SNC</w:t>
      </w:r>
    </w:p>
    <w:p>
      <w:pPr>
        <w:pStyle w:val="Corps"/>
      </w:pPr>
      <w:r>
        <w:t xml:space="preserve">Le consentement constaté réunit l'unanimité des associés pour le projet décrit. Toute personne appelée à devenir associée lors de la réalisation reste soumise aux exigences légales et statutaires applicables au transfert.</w:t>
      </w:r>
    </w:p>
    <w:p>
      <w:pPr>
        <w:pStyle w:val="Intertitre"/>
      </w:pPr>
      <w:r>
        <w:t xml:space="preserve">Constitution du nantissement</w:t>
      </w:r>
    </w:p>
    <w:p>
      <w:pPr>
        <w:pStyle w:val="Corps"/>
      </w:pPr>
      <w:r>
        <w:t xml:space="preserve">Le Constituant affecte les parts identifiées au paiement des obligations garanties et le Créancier nanti accepte cette sûreté dans les limites de l'assiette, du plafond et des conditions de l'acte.</w:t>
      </w:r>
    </w:p>
    <w:p>
      <w:pPr>
        <w:pStyle w:val="Intertitre"/>
      </w:pPr>
      <w:r>
        <w:t xml:space="preserve">Écrit et désignation</w:t>
      </w:r>
    </w:p>
    <w:p>
      <w:pPr>
        <w:pStyle w:val="Corps"/>
      </w:pPr>
      <w:r>
        <w:t xml:space="preserve">Le présent écrit désigne la dette garantie, la quantité et la nature des parts nanties. Il réunit les éléments nécessaires à la constitution de la sûreté et à sa publicité.</w:t>
      </w:r>
    </w:p>
    <w:p>
      <w:pPr>
        <w:pStyle w:val="Intertitre"/>
      </w:pPr>
      <w:r>
        <w:t xml:space="preserve">Absence de transfert immédiat</w:t>
      </w:r>
    </w:p>
    <w:p>
      <w:pPr>
        <w:pStyle w:val="Corps"/>
      </w:pPr>
      <w:r>
        <w:t xml:space="preserve">La constitution du nantissement ne transfère ni la propriété des parts ni la qualité d'associé au Créancier nanti. Un transfert ne peut résulter que d'une réalisation conforme aux règles applicables.</w:t>
      </w:r>
    </w:p>
    <w:p>
      <w:pPr>
        <w:pStyle w:val="Intertitre"/>
      </w:pPr>
      <w:r>
        <w:t xml:space="preserve">Clause optionnelle : Exclusion des régimes spéciaux</w:t>
      </w:r>
    </w:p>
    <w:p>
      <w:pPr>
        <w:pStyle w:val="Corps"/>
      </w:pPr>
      <w:r>
        <w:t xml:space="preserve">Les parts ne relèvent ni d'une société d'exercice ou réglementée, ni d'un régime agricole ou coopératif spécial, ni d'un démembrement ou d'une indivision non traité par le présent acte.</w:t>
      </w:r>
    </w:p>
    <w:p>
      <w:pPr>
        <w:pStyle w:val="Intertitre"/>
      </w:pPr>
      <w:r>
        <w:t xml:space="preserve">Sûretés antérieures — choisir une seule variante</w:t>
      </w:r>
    </w:p>
    <w:p>
      <w:pPr>
        <w:pStyle w:val="Variante"/>
      </w:pPr>
      <w:r>
        <w:t xml:space="preserve">Variante : Sûretés antérieures</w:t>
      </w:r>
    </w:p>
    <w:p>
      <w:pPr>
        <w:pStyle w:val="Corps"/>
      </w:pPr>
      <w:r>
        <w:t xml:space="preserve">Les droits et sûretés antérieurs identifiés sont : [Sûretés et droits antérieurs]. Le rang attendu du présent nantissement est [Rang attendu], sous réserve de la date et du contenu effectifs de l'inscription.</w:t>
      </w:r>
    </w:p>
    <w:p>
      <w:pPr>
        <w:pStyle w:val="Variante"/>
      </w:pPr>
      <w:r>
        <w:t xml:space="preserve">Variante : Absence de sûreté antérieure déclarée</w:t>
      </w:r>
    </w:p>
    <w:p>
      <w:pPr>
        <w:pStyle w:val="Corps"/>
      </w:pPr>
      <w:r>
        <w:t xml:space="preserve">Le Constituant déclare qu'aucune sûreté antérieure n'affecte les parts. Cette déclaration est rapprochée du registre des sûretés mobilières et des documents sociaux avant signature.</w:t>
      </w:r>
    </w:p>
    <w:p>
      <w:pPr>
        <w:pStyle w:val="Intertitre"/>
      </w:pPr>
      <w:r>
        <w:t xml:space="preserve">Demande d'inscription</w:t>
      </w:r>
    </w:p>
    <w:p>
      <w:pPr>
        <w:pStyle w:val="Corps"/>
      </w:pPr>
      <w:r>
        <w:t xml:space="preserve">L'inscription est requise auprès de [Greffe compétent] pour un montant garanti de [Montant porté à l'inscription] et un taux déclaré de [Taux porté à l'inscription]. Le bordereau identifie la société, les parts, leur valeur nominale et l'agrément éventuel.</w:t>
      </w:r>
    </w:p>
    <w:p>
      <w:pPr>
        <w:pStyle w:val="Intertitre"/>
      </w:pPr>
      <w:r>
        <w:t xml:space="preserve">Mentions particulières</w:t>
      </w:r>
    </w:p>
    <w:p>
      <w:pPr>
        <w:pStyle w:val="Corps"/>
      </w:pPr>
      <w:r>
        <w:t xml:space="preserve">Les mentions particulières portées au bordereau sont : [Mentions particulières du bordereau]. Elles sont rapprochées de l'agrément, du pacte commissoire et des stipulations effectivement convenues.</w:t>
      </w:r>
    </w:p>
    <w:p>
      <w:pPr>
        <w:pStyle w:val="Intertitre"/>
      </w:pPr>
      <w:r>
        <w:t xml:space="preserve">Opposabilité et rang</w:t>
      </w:r>
    </w:p>
    <w:p>
      <w:pPr>
        <w:pStyle w:val="Corps"/>
      </w:pPr>
      <w:r>
        <w:t xml:space="preserve">Le nantissement est opposable aux tiers par sa publicité. Son rang ne doit être affirmé qu'après inscription et contrôle des sûretés antérieures publiées.</w:t>
      </w:r>
    </w:p>
    <w:p>
      <w:pPr>
        <w:pStyle w:val="Intertitre"/>
      </w:pPr>
      <w:r>
        <w:t xml:space="preserve">Durée de l'inscription</w:t>
      </w:r>
    </w:p>
    <w:p>
      <w:pPr>
        <w:pStyle w:val="Corps"/>
      </w:pPr>
      <w:r>
        <w:t xml:space="preserve">Sauf disposition contraire, l'inscription produit effet pendant [Durée légale d'effet de l'inscription] ans et peut être renouvelée avant l'arrivée de ce terme. Son échéance effective est calculée à partir de la publicité accomplie.</w:t>
      </w:r>
    </w:p>
    <w:p>
      <w:pPr>
        <w:pStyle w:val="Intertitre"/>
      </w:pPr>
      <w:r>
        <w:t xml:space="preserve">Clause optionnelle : Certificat d'inscription</w:t>
      </w:r>
    </w:p>
    <w:p>
      <w:pPr>
        <w:pStyle w:val="Corps"/>
      </w:pPr>
      <w:r>
        <w:t xml:space="preserve">Le certificat porte la référence [Référence de l'inscription] et fixe l'échéance de l'inscription au [Échéance de l'inscription]. Ces données proviennent exclusivement du justificatif délivré par le greffe.</w:t>
      </w:r>
    </w:p>
    <w:p>
      <w:pPr>
        <w:pStyle w:val="Intertitre"/>
      </w:pPr>
      <w:r>
        <w:t xml:space="preserve">Clause optionnelle : Inscription vérifiée pour la réalisation</w:t>
      </w:r>
    </w:p>
    <w:p>
      <w:pPr>
        <w:pStyle w:val="Corps"/>
      </w:pPr>
      <w:r>
        <w:t xml:space="preserve">Avant toute réalisation, l'inscription portant la référence [Référence de l'inscription], son maintien en vigueur jusqu'au [Échéance de l'inscription] et les inscriptions concurrentes sont vérifiés.</w:t>
      </w:r>
    </w:p>
    <w:p>
      <w:pPr>
        <w:pStyle w:val="Intertitre"/>
      </w:pPr>
      <w:r>
        <w:t xml:space="preserve">Exercice des droits de vote</w:t>
      </w:r>
    </w:p>
    <w:p>
      <w:pPr>
        <w:pStyle w:val="Corps"/>
      </w:pPr>
      <w:r>
        <w:t xml:space="preserve">Tant qu'aucun transfert de propriété n'est intervenu, le Constituant conserve sa qualité d'associé et exerce les droits de vote attachés aux parts sous réserve des engagements expressément convenus.</w:t>
      </w:r>
    </w:p>
    <w:p>
      <w:pPr>
        <w:pStyle w:val="Intertitre"/>
      </w:pPr>
      <w:r>
        <w:t xml:space="preserve">Clause optionnelle : Engagements de vote</w:t>
      </w:r>
    </w:p>
    <w:p>
      <w:pPr>
        <w:pStyle w:val="Corps"/>
      </w:pPr>
      <w:r>
        <w:t xml:space="preserve">Le Constituant exerce ses droits de vote selon [Encadrement des droits de vote] et sollicite l'accord préalable prévu pour les décisions suivantes : [Décisions sociales réservées]. Ces engagements ne confèrent pas au Créancier nanti la qualité d'associé.</w:t>
      </w:r>
    </w:p>
    <w:p>
      <w:pPr>
        <w:pStyle w:val="Intertitre"/>
      </w:pPr>
      <w:r>
        <w:t xml:space="preserve">Distributions attachées aux parts</w:t>
      </w:r>
    </w:p>
    <w:p>
      <w:pPr>
        <w:pStyle w:val="Corps"/>
      </w:pPr>
      <w:r>
        <w:t xml:space="preserve">Les dividendes, réserves distribuées et autres fruits demeurent traités selon la propriété des parts et les stipulations expresses de l'acte ; le nantissement ne les transfère pas automatiquement au Créancier nanti.</w:t>
      </w:r>
    </w:p>
    <w:p>
      <w:pPr>
        <w:pStyle w:val="Intertitre"/>
      </w:pPr>
      <w:r>
        <w:t xml:space="preserve">Clause optionnelle : Affectation conventionnelle des distributions</w:t>
      </w:r>
    </w:p>
    <w:p>
      <w:pPr>
        <w:pStyle w:val="Corps"/>
      </w:pPr>
      <w:r>
        <w:t xml:space="preserve">Les distributions sont traitées selon [Traitement des distributions]. Toute perception par le Créancier nanti et toute imputation sur la dette sont justifiées par les conditions applicables et un décompte.</w:t>
      </w:r>
    </w:p>
    <w:p>
      <w:pPr>
        <w:pStyle w:val="Intertitre"/>
      </w:pPr>
      <w:r>
        <w:t xml:space="preserve">Information sur la société</w:t>
      </w:r>
    </w:p>
    <w:p>
      <w:pPr>
        <w:pStyle w:val="Corps"/>
      </w:pPr>
      <w:r>
        <w:t xml:space="preserve">Le Constituant transmet au Créancier nanti les documents suivants : [Information sur la société]. Il signale toute décision ou événement susceptible d'affecter la valeur, la cessibilité ou les droits attachés aux parts.</w:t>
      </w:r>
    </w:p>
    <w:p>
      <w:pPr>
        <w:pStyle w:val="Intertitre"/>
      </w:pPr>
      <w:r>
        <w:t xml:space="preserve">Conservation de la valeur des parts</w:t>
      </w:r>
    </w:p>
    <w:p>
      <w:pPr>
        <w:pStyle w:val="Corps"/>
      </w:pPr>
      <w:r>
        <w:t xml:space="preserve">Le Constituant respecte les engagements suivants : [Conservation de la valeur des parts]. Il s'abstient notamment d'organiser une dilution, une modification statutaire ou une distribution exceptionnelle destinée à déprécier la sûreté.</w:t>
      </w:r>
    </w:p>
    <w:p>
      <w:pPr>
        <w:pStyle w:val="Intertitre"/>
      </w:pPr>
      <w:r>
        <w:t xml:space="preserve">Clause optionnelle : Restrictions aux actes concurrents</w:t>
      </w:r>
    </w:p>
    <w:p>
      <w:pPr>
        <w:pStyle w:val="Corps"/>
      </w:pPr>
      <w:r>
        <w:t xml:space="preserve">Le Constituant respecte les restrictions suivantes concernant nouvelles sûretés, cessions, promesses et démembrements : [Restrictions aux sûretés et cessions]. Cet engagement ne modifie pas le rang légal des droits publiés.</w:t>
      </w:r>
    </w:p>
    <w:p>
      <w:pPr>
        <w:pStyle w:val="Intertitre"/>
      </w:pPr>
      <w:r>
        <w:t xml:space="preserve">Défaillance</w:t>
      </w:r>
    </w:p>
    <w:p>
      <w:pPr>
        <w:pStyle w:val="Corps"/>
      </w:pPr>
      <w:r>
        <w:t xml:space="preserve">Les cas de défaillance ouvrant les remèdes sont : [Cas de défaillance]. Leur constatation respecte le contrat garanti, les délais de remède et les exigences propres à la voie de réalisation choisie.</w:t>
      </w:r>
    </w:p>
    <w:p>
      <w:pPr>
        <w:pStyle w:val="Intertitre"/>
      </w:pPr>
      <w:r>
        <w:t xml:space="preserve">Voie de réalisation — choisir une seule variante</w:t>
      </w:r>
    </w:p>
    <w:p>
      <w:pPr>
        <w:pStyle w:val="Variante"/>
      </w:pPr>
      <w:r>
        <w:t xml:space="preserve">Variante : Vente forcée</w:t>
      </w:r>
    </w:p>
    <w:p>
      <w:pPr>
        <w:pStyle w:val="Corps"/>
      </w:pPr>
      <w:r>
        <w:t xml:space="preserve">À défaut de paiement, le Créancier nanti poursuit la vente des parts selon les voies légales applicables. Les règles de la forme sociale, l'agrément, les notifications et les droits de substitution sont respectés.</w:t>
      </w:r>
    </w:p>
    <w:p>
      <w:pPr>
        <w:pStyle w:val="Intertitre"/>
      </w:pPr>
      <w:r>
        <w:t xml:space="preserve">Clause optionnelle : Vente de parts civiles après agrément du projet</w:t>
      </w:r>
    </w:p>
    <w:p>
      <w:pPr>
        <w:pStyle w:val="Corps"/>
      </w:pPr>
      <w:r>
        <w:t xml:space="preserve">La réalisation est notifiée aux associés et à la société au moins [Délai légal de notification avant vente] mois avant la vente au moyen de [Notification préalable à la vente]. Après la vente, chaque associé dispose de [Délai légal de substitution] jours francs pour se substituer à l'acquéreur ; à défaut, la société peut racheter les parts en vue de leur annulation.</w:t>
      </w:r>
    </w:p>
    <w:p>
      <w:pPr>
        <w:pStyle w:val="Intertitre"/>
      </w:pPr>
      <w:r>
        <w:t xml:space="preserve">Clause optionnelle : Vente de parts civiles sans agrément préalable</w:t>
      </w:r>
    </w:p>
    <w:p>
      <w:pPr>
        <w:pStyle w:val="Corps"/>
      </w:pPr>
      <w:r>
        <w:t xml:space="preserve">La réalisation qui ne procède pas d'un projet agréé est notifiée [Délai légal de notification avant vente] mois avant la vente aux associés et à la société par [Notification préalable à la vente]. Dans ce délai, les associés peuvent décider la dissolution ou l'acquisition des parts. Après la vente, les associés ou la société peuvent exercer la faculté de substitution pendant [Délai légal de substitution] jours francs ; à défaut de substitution, l'acquéreur est agréé.</w:t>
      </w:r>
    </w:p>
    <w:p>
      <w:pPr>
        <w:pStyle w:val="Intertitre"/>
      </w:pPr>
      <w:r>
        <w:t xml:space="preserve">Clause optionnelle : Agrément civil encore indécis</w:t>
      </w:r>
    </w:p>
    <w:p>
      <w:pPr>
        <w:pStyle w:val="Corps"/>
      </w:pPr>
      <w:r>
        <w:t xml:space="preserve">Tant qu'aucune décision définitive n'est constatée, la réalisation ne bénéficie pas des effets attachés au consentement donné au projet de nantissement. Les notifications et décisions préalables sont appréciées au regard du régime applicable à une réalisation non agréée.</w:t>
      </w:r>
    </w:p>
    <w:p>
      <w:pPr>
        <w:pStyle w:val="Intertitre"/>
      </w:pPr>
      <w:r>
        <w:t xml:space="preserve">Clause optionnelle : Réalisation forcée de parts de SARL</w:t>
      </w:r>
    </w:p>
    <w:p>
      <w:pPr>
        <w:pStyle w:val="Corps"/>
      </w:pPr>
      <w:r>
        <w:t xml:space="preserve">La réalisation forcée tient compte de la décision d'agrément et des statuts. Lorsque le projet a été consenti, l'acquéreur est agréé, sauf rachat sans délai des parts par la société en vue de réduire son capital.</w:t>
      </w:r>
    </w:p>
    <w:p>
      <w:pPr>
        <w:pStyle w:val="Intertitre"/>
      </w:pPr>
      <w:r>
        <w:t xml:space="preserve">Clause optionnelle : Transfert de parts de SARL sans agrément anticipé</w:t>
      </w:r>
    </w:p>
    <w:p>
      <w:pPr>
        <w:pStyle w:val="Corps"/>
      </w:pPr>
      <w:r>
        <w:t xml:space="preserve">En l'absence de consentement préalable au projet de nantissement, aucun agrément anticipé du bénéficiaire du transfert ne peut être invoqué. L'entrée d'un tiers ou du Créancier nanti au capital demeure soumise à la procédure applicable aux cessions de parts de SARL et aux statuts.</w:t>
      </w:r>
    </w:p>
    <w:p>
      <w:pPr>
        <w:pStyle w:val="Intertitre"/>
      </w:pPr>
      <w:r>
        <w:t xml:space="preserve">Clause optionnelle : Réalisation de parts de SNC</w:t>
      </w:r>
    </w:p>
    <w:p>
      <w:pPr>
        <w:pStyle w:val="Corps"/>
      </w:pPr>
      <w:r>
        <w:t xml:space="preserve">Aucun acquéreur ne peut devenir associé sans le consentement unanime exigé pour la cession des parts. La procédure de réalisation identifie cette contrainte avant toute adjudication ou transfert.</w:t>
      </w:r>
    </w:p>
    <w:p>
      <w:pPr>
        <w:pStyle w:val="Intertitre"/>
      </w:pPr>
      <w:r>
        <w:t xml:space="preserve">Clause optionnelle : Résultat de la vente</w:t>
      </w:r>
    </w:p>
    <w:p>
      <w:pPr>
        <w:pStyle w:val="Corps"/>
      </w:pPr>
      <w:r>
        <w:t xml:space="preserve">La vente est suivie sous la référence [Référence de la vente forcée]. Toute substitution exercée est documentée comme suit : [Exercice de la faculté de substitution], puis le prix est imputé sur la dette garantie selon un décompte vérifié.</w:t>
      </w:r>
    </w:p>
    <w:p>
      <w:pPr>
        <w:pStyle w:val="Intertitre"/>
      </w:pPr>
      <w:r>
        <w:t xml:space="preserve">Voie de réalisation — choisir une seule variante</w:t>
      </w:r>
    </w:p>
    <w:p>
      <w:pPr>
        <w:pStyle w:val="Variante"/>
      </w:pPr>
      <w:r>
        <w:t xml:space="preserve">Variante : Attribution judiciaire</w:t>
      </w:r>
    </w:p>
    <w:p>
      <w:pPr>
        <w:pStyle w:val="Corps"/>
      </w:pPr>
      <w:r>
        <w:t xml:space="preserve">À défaut de paiement, le Créancier nanti peut demander en justice que les parts lui demeurent en paiement. L'attribution, la valeur retenue et l'excédent éventuel respectent les règles applicables ainsi que les restrictions propres à la forme sociale.</w:t>
      </w:r>
    </w:p>
    <w:p>
      <w:pPr>
        <w:pStyle w:val="Intertitre"/>
      </w:pPr>
      <w:r>
        <w:t xml:space="preserve">Clause optionnelle : Décision d'attribution judiciaire</w:t>
      </w:r>
    </w:p>
    <w:p>
      <w:pPr>
        <w:pStyle w:val="Corps"/>
      </w:pPr>
      <w:r>
        <w:t xml:space="preserve">La procédure et la décision d'attribution sont identifiées sous la référence [Référence d'attribution judiciaire]. Les éléments ayant fondé la valeur retenue sont conservés avec le décompte de réalisation.</w:t>
      </w:r>
    </w:p>
    <w:p>
      <w:pPr>
        <w:pStyle w:val="Intertitre"/>
      </w:pPr>
      <w:r>
        <w:t xml:space="preserve">Voie de réalisation — choisir une seule variante</w:t>
      </w:r>
    </w:p>
    <w:p>
      <w:pPr>
        <w:pStyle w:val="Variante"/>
      </w:pPr>
      <w:r>
        <w:t xml:space="preserve">Variante : Pacte commissoire</w:t>
      </w:r>
    </w:p>
    <w:p>
      <w:pPr>
        <w:pStyle w:val="Corps"/>
      </w:pPr>
      <w:r>
        <w:t xml:space="preserve">À défaut d'exécution, le Créancier nanti peut devenir propriétaire des parts selon [Pacte commissoire]. Leur valeur au jour du transfert est déterminée par expert selon [Valorisation par expert], sauf cotation officielle applicable.</w:t>
      </w:r>
    </w:p>
    <w:p>
      <w:pPr>
        <w:pStyle w:val="Intertitre"/>
      </w:pPr>
      <w:r>
        <w:t xml:space="preserve">Clause optionnelle : Effet du pacte commissoire sur les parts civiles</w:t>
      </w:r>
    </w:p>
    <w:p>
      <w:pPr>
        <w:pStyle w:val="Corps"/>
      </w:pPr>
      <w:r>
        <w:t xml:space="preserve">Pour une réalisation en application du pacte commissoire, la notification préalable et la faculté de substitution prévues par l'article 1867 ne s'appliquent pas ; les autres restrictions légales et statutaires restent contrôlées.</w:t>
      </w:r>
    </w:p>
    <w:p>
      <w:pPr>
        <w:pStyle w:val="Intertitre"/>
      </w:pPr>
      <w:r>
        <w:t xml:space="preserve">Clause optionnelle : Décompte au jour de la réalisation</w:t>
      </w:r>
    </w:p>
    <w:p>
      <w:pPr>
        <w:pStyle w:val="Corps"/>
      </w:pPr>
      <w:r>
        <w:t xml:space="preserve">La contrepartie de réalisation est arrêtée à [Valeur de réalisation], selon le prix de vente ou la valeur légalement retenue pour la voie choisie. La dette garantie arrêtée au même jour est [Dette garantie à la réalisation].</w:t>
      </w:r>
    </w:p>
    <w:p>
      <w:pPr>
        <w:pStyle w:val="Intertitre"/>
      </w:pPr>
      <w:r>
        <w:t xml:space="preserve">Clause optionnelle : Excédent ou consignation</w:t>
      </w:r>
    </w:p>
    <w:p>
      <w:pPr>
        <w:pStyle w:val="Corps"/>
      </w:pPr>
      <w:r>
        <w:t xml:space="preserve">Lorsque la valeur des parts excède la dette garantie, la différence de [Excédent ou soulte] est versée au Constituant ou consignée s'il existe d'autres créanciers bénéficiant de droits sur les parts.</w:t>
      </w:r>
    </w:p>
    <w:p>
      <w:pPr>
        <w:pStyle w:val="Intertitre"/>
      </w:pPr>
      <w:r>
        <w:t xml:space="preserve">Mainlevée et radiation</w:t>
      </w:r>
    </w:p>
    <w:p>
      <w:pPr>
        <w:pStyle w:val="Corps"/>
      </w:pPr>
      <w:r>
        <w:t xml:space="preserve">Lorsque les conditions [Conditions de mainlevée] sont remplies, le Créancier nanti délivre la mainlevée et remet les pièces nécessaires à la radiation de l'inscription, dans le délai convenu et sous réserve des formalités du registre.</w:t>
      </w:r>
    </w:p>
    <w:p>
      <w:pPr>
        <w:pStyle w:val="Intertitre"/>
      </w:pPr>
      <w:r>
        <w:t xml:space="preserve">Frais</w:t>
      </w:r>
    </w:p>
    <w:p>
      <w:pPr>
        <w:pStyle w:val="Corps"/>
      </w:pPr>
      <w:r>
        <w:t xml:space="preserve">Les frais d'acte, d'agrément, d'inscription, de renouvellement, de réalisation et de radiation sont répartis selon [Répartition des frais], sans modifier la dette envers les tiers.</w:t>
      </w:r>
    </w:p>
    <w:p>
      <w:pPr>
        <w:pStyle w:val="Intertitre"/>
      </w:pPr>
      <w:r>
        <w:t xml:space="preserve">Notifications</w:t>
      </w:r>
    </w:p>
    <w:p>
      <w:pPr>
        <w:pStyle w:val="Corps"/>
      </w:pPr>
      <w:r>
        <w:t xml:space="preserve">Les communications contractuelles sont adressées aux coordonnées suivantes : [Adresses de notification]. Les notifications légales de réalisation respectent leurs destinataires, formes et délais propres.</w:t>
      </w:r>
    </w:p>
    <w:p>
      <w:pPr>
        <w:pStyle w:val="Intertitre"/>
      </w:pPr>
      <w:r>
        <w:t xml:space="preserve">Droit applicable et différends</w:t>
      </w:r>
    </w:p>
    <w:p>
      <w:pPr>
        <w:pStyle w:val="Corps"/>
      </w:pPr>
      <w:r>
        <w:t xml:space="preserve">L'acte est régi par [Droit applicable]. Les différends sont traités selon [Règlement des différends], sous réserve des compétences et procédures impératives.</w:t>
      </w:r>
    </w:p>
    <w:p>
      <w:pPr>
        <w:pStyle w:val="Intertitre"/>
      </w:pPr>
      <w:r>
        <w:t xml:space="preserve">Annexes</w:t>
      </w:r>
    </w:p>
    <w:p>
      <w:pPr>
        <w:pStyle w:val="Corps"/>
      </w:pPr>
      <w:r>
        <w:t xml:space="preserve">Sont annexés : [Annexes]. La version signée identifie notamment le contrat garanti, les statuts, le titre de propriété, le registre des associés, les décisions d'agrément, les pouvoirs et les états d'inscription disponibles.</w:t>
      </w:r>
    </w:p>
    <w:p>
      <w:pPr>
        <w:pStyle w:val="Intertitre"/>
      </w:pPr>
      <w:r>
        <w:t xml:space="preserve">État du document — choisir une seule variante</w:t>
      </w:r>
    </w:p>
    <w:p>
      <w:pPr>
        <w:pStyle w:val="Variante"/>
      </w:pPr>
      <w:r>
        <w:t xml:space="preserve">Variante : Projet d'acte</w:t>
      </w:r>
    </w:p>
    <w:p>
      <w:pPr>
        <w:pStyle w:val="Corps"/>
      </w:pPr>
      <w:r>
        <w:t xml:space="preserve">Le document demeure un projet tant que les parties, la dette, les parts, leur disponibilité, l'agrément et les données de publicité n'ont pas été confirmés.</w:t>
      </w:r>
    </w:p>
    <w:p>
      <w:pPr>
        <w:pStyle w:val="Variante"/>
      </w:pPr>
      <w:r>
        <w:t xml:space="preserve">Variante : Acte signé à publier</w:t>
      </w:r>
    </w:p>
    <w:p>
      <w:pPr>
        <w:pStyle w:val="Corps"/>
      </w:pPr>
      <w:r>
        <w:t xml:space="preserve">L'acte signé constitue la sûreté entre les parties. Son opposabilité et son rang à l'égard des tiers supposent l'accomplissement de la publicité requise.</w:t>
      </w:r>
    </w:p>
    <w:p>
      <w:pPr>
        <w:pStyle w:val="Variante"/>
      </w:pPr>
      <w:r>
        <w:t xml:space="preserve">Variante : Publicité accomplie</w:t>
      </w:r>
    </w:p>
    <w:p>
      <w:pPr>
        <w:pStyle w:val="Corps"/>
      </w:pPr>
      <w:r>
        <w:t xml:space="preserve">La publicité du nantissement a été accomplie. Son opposabilité, son rang et sa durée sont appréciés d'après le certificat d'inscription et les inscriptions concurrentes effectivement consultées.</w:t>
      </w:r>
    </w:p>
    <w:p>
      <w:pPr>
        <w:pStyle w:val="Variante"/>
      </w:pPr>
      <w:r>
        <w:t xml:space="preserve">Variante : Mise en œuvre de la sûreté</w:t>
      </w:r>
    </w:p>
    <w:p>
      <w:pPr>
        <w:pStyle w:val="Corps"/>
      </w:pPr>
      <w:r>
        <w:t xml:space="preserve">La sûreté est mise en œuvre à raison de la défaillance constatée. La voie de réalisation, les notifications, les restrictions sociales, la valeur retenue et l'imputation des sommes sont justifiées par les pièces correspondantes.</w:t>
      </w:r>
    </w:p>
    <w:p>
      <w:pPr>
        <w:pStyle w:val="Intertitre"/>
      </w:pPr>
      <w:r>
        <w:t xml:space="preserve">Signatures</w:t>
      </w:r>
    </w:p>
    <w:p>
      <w:pPr>
        <w:pStyle w:val="Corps"/>
      </w:pPr>
      <w:r>
        <w:t xml:space="preserve">Le Constituant signe sous le nom [Signature du Constituant] et le Créancier nanti sous le nom [Signature du Créancier nanti], après vérification des parts, des pouvoirs, de la dette garantie et des modalités de publicité.</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