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BAIL COMMERCIAL (3/6/9)</w:t>
      </w:r>
    </w:p>
    <w:p>
      <w:pPr>
        <w:pStyle w:val="Intertitre"/>
      </w:pPr>
      <w:r>
        <w:t xml:space="preserve">Parties</w:t>
      </w:r>
    </w:p>
    <w:p>
      <w:pPr>
        <w:pStyle w:val="Corps"/>
      </w:pPr>
      <w:r>
        <w:t xml:space="preserve">Le Bailleur est [Nom ou dénomination du bailleur], [Forme du bailleur], immatriculé sous le numéro [Immatriculation du bailleur], dont l'adresse est [Adresse du bailleur], représenté par [Représentant du bailleur]. Le Preneur est [Nom ou dénomination du preneur], [Forme du preneur], immatriculé sous le numéro [Immatriculation du preneur], dont l'adresse est [Adresse du preneur], représenté par [Représentant du preneur]. Chacune des parties élit domicile à l'adresse ainsi indiquée pour l'exécution du bail, sous réserve de toute notification régulière d'un changement.</w:t>
      </w:r>
    </w:p>
    <w:p>
      <w:pPr>
        <w:pStyle w:val="Intertitre"/>
      </w:pPr>
      <w:r>
        <w:t xml:space="preserve">Capacité et pouvoirs</w:t>
      </w:r>
    </w:p>
    <w:p>
      <w:pPr>
        <w:pStyle w:val="Corps"/>
      </w:pPr>
      <w:r>
        <w:t xml:space="preserve">Chaque signataire déclare disposer de la capacité et des pouvoirs nécessaires pour engager la partie qu'il représente. Les extraits d'immatriculation, statuts, décisions sociales, délégations et mandats utiles sont identifiés dans [Justificatifs de pouvoirs]. Ils sont contrôlés avant signature et conservés avec les exemplaires du bail. Aucune qualité, habilitation ou étendue de pouvoir ne peut être déduite de la seule mention du représentant dans le présent acte.</w:t>
      </w:r>
    </w:p>
    <w:p>
      <w:pPr>
        <w:pStyle w:val="Intertitre"/>
      </w:pPr>
      <w:r>
        <w:t xml:space="preserve">Conclusion du bail commercial initial</w:t>
      </w:r>
    </w:p>
    <w:p>
      <w:pPr>
        <w:pStyle w:val="Corps"/>
      </w:pPr>
      <w:r>
        <w:t xml:space="preserve">Les parties concluent un bail commercial initial portant sur les locaux désignés ci-après. Le présent acte fixe l'intégralité de leurs engagements à compter de sa date de prise d'effet, sous réserve de la délivrance effective des locaux et des formalités expressément prévues. Il ne constitue ni un avenant ni un acte de renouvellement et n'emporte renonciation à aucun droit impératif attaché au statut des baux commerciaux.</w:t>
      </w:r>
    </w:p>
    <w:p>
      <w:pPr>
        <w:pStyle w:val="Intertitre"/>
      </w:pPr>
      <w:r>
        <w:t xml:space="preserve">Titre et disponibilité</w:t>
      </w:r>
    </w:p>
    <w:p>
      <w:pPr>
        <w:pStyle w:val="Corps"/>
      </w:pPr>
      <w:r>
        <w:t xml:space="preserve">Le Bailleur déclare détenir les droits lui permettant de consentir la jouissance des locaux pendant toute la durée du bail. Les titres, pouvoirs, servitudes, droits réels, règlements de copropriété ou d'ensemble immobilier et autorisations opposables sont identifiés dans [Titre et droits sur les locaux]. Le Preneur reconnaît avoir reçu les informations nécessaires sur les restrictions qui affectent matériellement l'usage convenu, sans que cette reconnaissance couvre une charge non communiquée.</w:t>
      </w:r>
    </w:p>
    <w:p>
      <w:pPr>
        <w:pStyle w:val="Intertitre"/>
      </w:pPr>
      <w:r>
        <w:t xml:space="preserve">Désignation</w:t>
      </w:r>
    </w:p>
    <w:p>
      <w:pPr>
        <w:pStyle w:val="Corps"/>
      </w:pPr>
      <w:r>
        <w:t xml:space="preserve">Les locaux loués sont situés [Adresse des locaux] et comprennent : [Désignation complète des locaux]. Les lots, références cadastrales ou de copropriété, dépendances, accès et droits sur les parties communes sont identifiés comme suit : [Lots et références]. La surface déclarée est de [Surface des locaux] [Unité et nature de surface], établie d'après [Justificatif de surface]. Plans et relevés annexés prévalent pour l'identification matérielle, sans garantir une surface différente de celle expressément certifiée.</w:t>
      </w:r>
    </w:p>
    <w:p>
      <w:pPr>
        <w:pStyle w:val="Intertitre"/>
      </w:pPr>
      <w:r>
        <w:t xml:space="preserve">Champ statutaire</w:t>
      </w:r>
    </w:p>
    <w:p>
      <w:pPr>
        <w:pStyle w:val="Corps"/>
      </w:pPr>
      <w:r>
        <w:t xml:space="preserve">Les parties entendent soumettre la location au statut des baux commerciaux, sous réserve que ses conditions soient effectivement réunies. Le Preneur demeure responsable de l'exploitation du fonds et des immatriculations requises ; le Bailleur garantit la destination locative qu'il consent. Toute modification concernant l'activité, la titularité du fonds, l'immatriculation, la nature des locaux ou leur rattachement doit être signalée, car elle peut affecter l'application du statut et les droits au renouvellement.</w:t>
      </w:r>
    </w:p>
    <w:p>
      <w:pPr>
        <w:pStyle w:val="Intertitre"/>
      </w:pPr>
      <w:r>
        <w:t xml:space="preserve">Délivrance et état des lieux</w:t>
      </w:r>
    </w:p>
    <w:p>
      <w:pPr>
        <w:pStyle w:val="Corps"/>
      </w:pPr>
      <w:r>
        <w:t xml:space="preserve">La délivrance des locaux et la remise des clés interviennent le [Date de délivrance]. Leur état, leurs équipements, les relevés de compteurs, le nombre de clés et les réserves sont constatés contradictoirement dans [État des lieux et réserves], annexé ou conservé par les parties. Les travaux préalables, délais de levée des réserves et responsabilités correspondantes y sont précisés. La prise de possession ne vaut pas renonciation aux défauts ou obligations qui ne pouvaient être raisonnablement constatés.</w:t>
      </w:r>
    </w:p>
    <w:p>
      <w:pPr>
        <w:pStyle w:val="Intertitre"/>
      </w:pPr>
      <w:r>
        <w:t xml:space="preserve">Destination</w:t>
      </w:r>
    </w:p>
    <w:p>
      <w:pPr>
        <w:pStyle w:val="Corps"/>
      </w:pPr>
      <w:r>
        <w:t xml:space="preserve">Les locaux sont exclusivement destinés à l'activité suivante : [Activité autorisée]. Le Preneur ne peut exercer une autre activité, même accessoire, ni modifier la destination contractuelle sans l'accord écrit préalable du Bailleur et l'accomplissement des procédures légales applicables. Il lui appartient d'obtenir et de maintenir les autorisations administratives propres à son exploitation ; l'accord du Bailleur ne garantit ni leur délivrance ni leur maintien.</w:t>
      </w:r>
    </w:p>
    <w:p>
      <w:pPr>
        <w:pStyle w:val="Intertitre"/>
      </w:pPr>
      <w:r>
        <w:t xml:space="preserve">Restrictions d'activité</w:t>
      </w:r>
    </w:p>
    <w:p>
      <w:pPr>
        <w:pStyle w:val="Corps"/>
      </w:pPr>
      <w:r>
        <w:t xml:space="preserve">Le Preneur respecte le règlement de copropriété ou de l'ensemble immobilier, les prescriptions de sécurité, d'accessibilité, d'hygiène et d'environnement ainsi que les autorisations attachées à son activité. Il s'abstient de tout usage, stockage, émission, rejet, surcharge ou installation incompatible avec les caractéristiques des locaux ou les droits des tiers. Il répond des conséquences de son exploitation, sans prendre en charge les obligations structurelles ou réglementaires qui incombent au Bailleur.</w:t>
      </w:r>
    </w:p>
    <w:p>
      <w:pPr>
        <w:pStyle w:val="Intertitre"/>
      </w:pPr>
      <w:r>
        <w:t xml:space="preserve">Durée et prise d'effet</w:t>
      </w:r>
    </w:p>
    <w:p>
      <w:pPr>
        <w:pStyle w:val="Corps"/>
      </w:pPr>
      <w:r>
        <w:t xml:space="preserve">Le bail prend effet le [Date de prise d’effet] et est conclu jusqu'au [Date d’expiration]. La chronologie tient compte de la délivrance des locaux, des éventuelles franchises ou périodes de travaux et de la durée minimale applicable. L'arrivée du terme n'éteint pas, à elle seule, les droits et obligations relevant du congé, de la demande de renouvellement, de la tacite prolongation ou du refus de renouvellement. Les dates doivent être cohérentes avant signature.</w:t>
      </w:r>
    </w:p>
    <w:p>
      <w:pPr>
        <w:pStyle w:val="Intertitre"/>
      </w:pPr>
      <w:r>
        <w:t xml:space="preserve">Congé triennal</w:t>
      </w:r>
    </w:p>
    <w:p>
      <w:pPr>
        <w:pStyle w:val="Corps"/>
      </w:pPr>
      <w:r>
        <w:t xml:space="preserve">Sauf dérogation légalement admissible expressément retenue ci-après, le Preneur peut donner congé à l'expiration de chaque période triennale. Le congé respecte la forme, le préavis, le destinataire et la date d'effet imposés par les textes en vigueur au jour de sa délivrance. La partie qui l'envisage vérifie le calendrier et conserve la preuve de la notification ; aucune clause du bail ne réduit une faculté impérative de résiliation.</w:t>
      </w:r>
    </w:p>
    <w:p>
      <w:pPr>
        <w:pStyle w:val="Intertitre"/>
      </w:pPr>
      <w:r>
        <w:t xml:space="preserve">Clause optionnelle : Durée ferme exceptionnelle</w:t>
      </w:r>
    </w:p>
    <w:p>
      <w:pPr>
        <w:pStyle w:val="Corps"/>
      </w:pPr>
      <w:r>
        <w:t xml:space="preserve">La renonciation du Preneur à la faculté de résiliation à l'expiration d'une ou plusieurs périodes triennales repose sur la catégorie légale suivante : [Catégorie légale de durée ferme]. Son applicabilité au local et à la durée convenus est établie par [Justificatif de la durée ferme]. La dérogation est d'interprétation stricte et ne vaut que pour la période expressément identifiée ; à défaut de fondement ou de preuve suffisants, la faculté triennale demeure applicable.</w:t>
      </w:r>
    </w:p>
    <w:p>
      <w:pPr>
        <w:pStyle w:val="Intertitre"/>
      </w:pPr>
      <w:r>
        <w:t xml:space="preserve"> — choisir une seule variante</w:t>
      </w:r>
    </w:p>
    <w:p>
      <w:pPr>
        <w:pStyle w:val="Variante"/>
      </w:pPr>
      <w:r>
        <w:t xml:space="preserve">Variante : Loyer fixe</w:t>
      </w:r>
    </w:p>
    <w:p>
      <w:pPr>
        <w:pStyle w:val="Corps"/>
      </w:pPr>
      <w:r>
        <w:t xml:space="preserve">Le loyer principal annuel est fixé à [Loyer fixe annuel hors taxes] [Devise du loyer], hors taxes et hors charges. Il rémunère la mise à disposition des locaux dans leur consistance contractuelle. Toute taxe légalement applicable, charge récupérable ou accessoire n'est exigible qu'en vertu d'une stipulation distincte et d'un justificatif conforme. Le montant ne peut être modifié que selon les mécanismes de révision, d'indexation ou de renouvellement prévus par le bail ou la loi.</w:t>
      </w:r>
    </w:p>
    <w:p>
      <w:pPr>
        <w:pStyle w:val="Variante"/>
      </w:pPr>
      <w:r>
        <w:t xml:space="preserve">Variante : Loyer sur chiffre d'affaires</w:t>
      </w:r>
    </w:p>
    <w:p>
      <w:pPr>
        <w:pStyle w:val="Corps"/>
      </w:pPr>
      <w:r>
        <w:t xml:space="preserve">Le loyer est déterminé par application du taux de [Taux du loyer variable] % à l'assiette suivante : [Assiette du loyer variable]. Il ne peut être inférieur au minimum garanti annuel de [Minimum garanti annuel] [Devise du loyer]. Les dates de déclaration, pièces comptables, droits d'audit, modalités de rectification et calendrier de régularisation sont définis par [Déclaration et audit du chiffre d’affaires]. Les contrôles respectent la confidentialité des données et ne permettent aucune double prise en compte d'un même chiffre d'affaires.</w:t>
      </w:r>
    </w:p>
    <w:p>
      <w:pPr>
        <w:pStyle w:val="Variante"/>
      </w:pPr>
      <w:r>
        <w:t xml:space="preserve">Variante : Loyer mixte fixe et variable</w:t>
      </w:r>
    </w:p>
    <w:p>
      <w:pPr>
        <w:pStyle w:val="Corps"/>
      </w:pPr>
      <w:r>
        <w:t xml:space="preserve">Le loyer comprend une part fixe annuelle de [Loyer fixe annuel hors taxes] [Devise du loyer], hors taxes et charges, et une part variable égale à [Taux du loyer variable] % de l'assiette suivante : [Assiette du loyer variable]. Le minimum garanti annuel est de [Minimum garanti annuel] [Devise du loyer]. Les déclarations, justificatifs, contrôles, rectifications et régularisations sont organisés par [Déclaration et audit du chiffre d’affaires]. Les parties précisent si le minimum s'impute sur la part variable afin d'éviter tout cumul ou double facturation.</w:t>
      </w:r>
    </w:p>
    <w:p>
      <w:pPr>
        <w:pStyle w:val="Intertitre"/>
      </w:pPr>
      <w:r>
        <w:t xml:space="preserve">Paiement</w:t>
      </w:r>
    </w:p>
    <w:p>
      <w:pPr>
        <w:pStyle w:val="Corps"/>
      </w:pPr>
      <w:r>
        <w:t xml:space="preserve">Le loyer est payable selon la périodicité [Périodicité du loyer], à [Exigibilité du loyer], par [Mode de paiement]. Chaque appel distingue le loyer principal, la TVA éventuelle, les provisions, charges et régularisations. Lorsque les conditions légales sont réunies et que le Preneur en fait régulièrement la demande, le droit au paiement mensuel s'applique à compter de l'échéance pertinente, nonobstant une périodicité contractuelle différente. Les paiements sont imputés selon leur objet et donnent lieu à une quittance ou un reçu traçable.</w:t>
      </w:r>
    </w:p>
    <w:p>
      <w:pPr>
        <w:pStyle w:val="Intertitre"/>
      </w:pPr>
      <w:r>
        <w:t xml:space="preserve">Clause optionnelle : TVA</w:t>
      </w:r>
    </w:p>
    <w:p>
      <w:pPr>
        <w:pStyle w:val="Corps"/>
      </w:pPr>
      <w:r>
        <w:t xml:space="preserve">La TVA n'est appliquée que si [Fondement du régime de TVA] établit le régime fiscal retenu et sa date d'effet. Elle porte exclusivement sur les loyers, charges ou accessoires effectivement taxables au taux en vigueur lors de l'exigibilité. Le Bailleur remet une facture conforme et informe le Preneur de toute modification du régime. Aucune taxe n'est ajoutée par présomption ; une erreur de traitement fait l'objet d'une régularisation documentée sans modifier le loyer hors taxes.</w:t>
      </w:r>
    </w:p>
    <w:p>
      <w:pPr>
        <w:pStyle w:val="Intertitre"/>
      </w:pPr>
      <w:r>
        <w:t xml:space="preserve"> — choisir une seule variante</w:t>
      </w:r>
    </w:p>
    <w:p>
      <w:pPr>
        <w:pStyle w:val="Variante"/>
      </w:pPr>
      <w:r>
        <w:t xml:space="preserve">Variante : Absence d'indexation</w:t>
      </w:r>
    </w:p>
    <w:p>
      <w:pPr>
        <w:pStyle w:val="Corps"/>
      </w:pPr>
      <w:r>
        <w:t xml:space="preserve">Les parties n'insèrent aucune clause d'indexation conventionnelle. Le loyer reste donc inchangé sur ce seul fondement entre deux échéances, sans préjudice des procédures légales de révision ni des règles propres au renouvellement. L'absence d'indexation ne vaut ni renonciation anticipée à ces mécanismes légaux ni autorisation d'appliquer un indice ou une variation non stipulés.</w:t>
      </w:r>
    </w:p>
    <w:p>
      <w:pPr>
        <w:pStyle w:val="Variante"/>
      </w:pPr>
      <w:r>
        <w:t xml:space="preserve">Variante : Indexation ILC</w:t>
      </w:r>
    </w:p>
    <w:p>
      <w:pPr>
        <w:pStyle w:val="Corps"/>
      </w:pPr>
      <w:r>
        <w:t xml:space="preserve">Le loyer est indexé sur l'indice des loyers commerciaux. L'indice de base a pour valeur [Valeur de base de l'indice] au trimestre [Trimestre de base] et la révision intervient selon [Périodicité d'indexation]. Le loyer révisé résulte du rapport entre l'indice de comparaison publié et l'indice de base correspondant. La clause s'applique à la hausse comme à la baisse dans les limites légales ; les indices, dates, calculs et éventuels raccordements de série sont vérifiés avant facturation.</w:t>
      </w:r>
    </w:p>
    <w:p>
      <w:pPr>
        <w:pStyle w:val="Variante"/>
      </w:pPr>
      <w:r>
        <w:t xml:space="preserve">Variante : Indexation ILAT</w:t>
      </w:r>
    </w:p>
    <w:p>
      <w:pPr>
        <w:pStyle w:val="Corps"/>
      </w:pPr>
      <w:r>
        <w:t xml:space="preserve">Le loyer est indexé sur l'indice des loyers des activités tertiaires. L'indice de base a pour valeur [Valeur de base de l'indice] au trimestre [Trimestre de base] et la révision intervient selon [Périodicité d'indexation]. Le loyer révisé résulte du rapport entre l'indice publié de comparaison et l'indice de base correspondant. L'adéquation de l'ILAT à l'activité est vérifiée ; la clause joue à la hausse comme à la baisse dans les limites légales et chaque calcul est communiqué.</w:t>
      </w:r>
    </w:p>
    <w:p>
      <w:pPr>
        <w:pStyle w:val="Intertitre"/>
      </w:pPr>
      <w:r>
        <w:t xml:space="preserve">Révision et renouvellement du loyer</w:t>
      </w:r>
    </w:p>
    <w:p>
      <w:pPr>
        <w:pStyle w:val="Corps"/>
      </w:pPr>
      <w:r>
        <w:t xml:space="preserve">Les procédures légales de révision du loyer et les règles de fixation du loyer lors du renouvellement demeurent distinctes de l'indexation conventionnelle. Toute demande identifie son fondement, sa date d'effet, le loyer antérieur, les indices, les facteurs locaux ou autres circonstances invoquées et le calcul proposé. Les parties conservent les actes et preuves de notification. Un désaccord peut être porté devant l'organe de conciliation ou la juridiction compétente selon le régime applicable.</w:t>
      </w:r>
    </w:p>
    <w:p>
      <w:pPr>
        <w:pStyle w:val="Intertitre"/>
      </w:pPr>
      <w:r>
        <w:t xml:space="preserve">Clause optionnelle : Dépôt de garantie</w:t>
      </w:r>
    </w:p>
    <w:p>
      <w:pPr>
        <w:pStyle w:val="Corps"/>
      </w:pPr>
      <w:r>
        <w:t xml:space="preserve">Le Preneur verse un dépôt de garantie de [Montant du dépôt de garantie] [Devise du loyer] selon [Régime du dépôt de garantie]. Ce dépôt garantit les sommes restant dues et les réparations locatives justifiées ; il ne peut être imputé unilatéralement sur les derniers loyers. Sa restitution intervient après libération des locaux, remise des clés et apurement des comptes, déduction faite des créances établies. Le montant est coordonné avec toute autre garantie et réduit si le plafond légal applicable aux locaux concernés l'exige.</w:t>
      </w:r>
    </w:p>
    <w:p>
      <w:pPr>
        <w:pStyle w:val="Intertitre"/>
      </w:pPr>
      <w:r>
        <w:t xml:space="preserve">Clause optionnelle : Garantie bancaire</w:t>
      </w:r>
    </w:p>
    <w:p>
      <w:pPr>
        <w:pStyle w:val="Corps"/>
      </w:pPr>
      <w:r>
        <w:t xml:space="preserve">Le Preneur remet une garantie bancaire d'un montant maximal de [Montant de la garantie bancaire] [Devise du loyer], valable pendant [Durée de la garantie bancaire] et appelable ou libérable selon [Conditions d’appel de la garantie]. Le texte de la garantie, son bénéficiaire, son terme et les conditions de prorogation sont approuvés avant remise des clés. Son montant est coordonné avec le dépôt et les autres sûretés afin de respecter tout plafond légal applicable et d'éviter une garantie sans terme ou disproportionnée.</w:t>
      </w:r>
    </w:p>
    <w:p>
      <w:pPr>
        <w:pStyle w:val="Intertitre"/>
      </w:pPr>
      <w:r>
        <w:t xml:space="preserve">Inventaire des charges</w:t>
      </w:r>
    </w:p>
    <w:p>
      <w:pPr>
        <w:pStyle w:val="Corps"/>
      </w:pPr>
      <w:r>
        <w:t xml:space="preserve">L'annexe [Inventaire des charges] dresse un inventaire précis et limitatif des charges, impôts, taxes et redevances liés au bail et indique leur répartition entre les parties. Elle distingue les dépenses propres aux locaux, les parties communes et la clé applicable dans l'ensemble immobilier. Le Bailleur adresse les états récapitulatifs, régularisations et informations sur les nouveaux postes dans les délais requis, avec les justificatifs permettant au Preneur de contrôler les sommes appelées.</w:t>
      </w:r>
    </w:p>
    <w:p>
      <w:pPr>
        <w:pStyle w:val="Intertitre"/>
      </w:pPr>
      <w:r>
        <w:t xml:space="preserve">Exclusions légales</w:t>
      </w:r>
    </w:p>
    <w:p>
      <w:pPr>
        <w:pStyle w:val="Corps"/>
      </w:pPr>
      <w:r>
        <w:t xml:space="preserve">Ne sont jamais imputés au Preneur les dépenses, honoraires, impôts, travaux ou postes dont le transfert est interdit par les règles applicables, notamment les grosses réparations visées par l'article 606 du Code civil lorsqu'elles entrent dans l'exclusion réglementaire. L'inventaire annexé est interprété strictement : un poste omis ou formulé de manière générale n'est pas récupérable par assimilation. Toute répartition dans un ensemble immobilier doit correspondre aux locaux occupés et aux parties communes utiles à leur exploitation.</w:t>
      </w:r>
    </w:p>
    <w:p>
      <w:pPr>
        <w:pStyle w:val="Intertitre"/>
      </w:pPr>
      <w:r>
        <w:t xml:space="preserve">Répartition des travaux</w:t>
      </w:r>
    </w:p>
    <w:p>
      <w:pPr>
        <w:pStyle w:val="Corps"/>
      </w:pPr>
      <w:r>
        <w:t xml:space="preserve">La répartition des travaux, de leur coût et de leur maîtrise d'ouvrage figure dans [Répartition des travaux]. Cette annexe distingue les travaux initiaux, l'entretien, les réparations, les mises en conformité, les grosses réparations et les améliorations, ainsi que les autorisations préalables et conditions de restitution. Le Bailleur communique l'état prévisionnel des travaux envisagés et l'état récapitulatif des travaux réalisés selon la périodicité légale, avec leurs budgets ou coûts.</w:t>
      </w:r>
    </w:p>
    <w:p>
      <w:pPr>
        <w:pStyle w:val="Intertitre"/>
      </w:pPr>
      <w:r>
        <w:t xml:space="preserve">Grosses réparations</w:t>
      </w:r>
    </w:p>
    <w:p>
      <w:pPr>
        <w:pStyle w:val="Corps"/>
      </w:pPr>
      <w:r>
        <w:t xml:space="preserve">Les grosses réparations définies par l'article 606 du Code civil, ainsi que les honoraires liés à leur réalisation lorsqu'ils relèvent de l'exclusion réglementaire, demeurent à la charge du Bailleur. Il en va de même des travaux destinés à remédier à la vétusté ou à mettre l'immeuble en conformité lorsqu'ils constituent de telles grosses réparations. Toute qualification incertaine est examinée au regard de la nature réelle des travaux avant commande ou appel de fonds.</w:t>
      </w:r>
    </w:p>
    <w:p>
      <w:pPr>
        <w:pStyle w:val="Intertitre"/>
      </w:pPr>
      <w:r>
        <w:t xml:space="preserve">Entretien</w:t>
      </w:r>
    </w:p>
    <w:p>
      <w:pPr>
        <w:pStyle w:val="Corps"/>
      </w:pPr>
      <w:r>
        <w:t xml:space="preserve">Le Preneur assure l'entretien courant, les menues réparations et les remplacements liés à son occupation et à ses équipements propres. Il avertit sans délai le Bailleur de tout désordre affectant la structure, le clos, le couvert, les réseaux communs ou la sécurité. Il ne réalise aucune intervention sur ces éléments sans autorisation écrite, sauf mesure conservatoire urgente. Le Bailleur exécute les réparations qui lui incombent dans un délai adapté à leur gravité.</w:t>
      </w:r>
    </w:p>
    <w:p>
      <w:pPr>
        <w:pStyle w:val="Intertitre"/>
      </w:pPr>
      <w:r>
        <w:t xml:space="preserve">Conformité</w:t>
      </w:r>
    </w:p>
    <w:p>
      <w:pPr>
        <w:pStyle w:val="Corps"/>
      </w:pPr>
      <w:r>
        <w:t xml:space="preserve">Chaque partie prend en charge les obligations de conformité qui lui incombent au regard de la propriété de l'immeuble, de la délivrance, de l'activité autorisée et des stipulations du bail. Le Preneur obtient et maintient les autorisations propres à son exploitation ; le Bailleur traite les obligations structurelles et celles qui ne peuvent être transférées. Toute prescription nouvelle est communiquée avec son fondement, son coût estimé et la répartition proposée avant exécution, sauf urgence de sécurité.</w:t>
      </w:r>
    </w:p>
    <w:p>
      <w:pPr>
        <w:pStyle w:val="Intertitre"/>
      </w:pPr>
      <w:r>
        <w:t xml:space="preserve">Assurances</w:t>
      </w:r>
    </w:p>
    <w:p>
      <w:pPr>
        <w:pStyle w:val="Corps"/>
      </w:pPr>
      <w:r>
        <w:t xml:space="preserve">Le Preneur souscrit et maintient les assurances décrites dans [Exigences d'assurance], notamment pour ses risques locatifs, son activité, ses biens et sa responsabilité. Il remet les attestations à la prise d'effet puis à chaque renouvellement de police et informe le Bailleur d'une suspension ou résiliation. Le Bailleur conserve les assurances relatives à l'immeuble et à sa responsabilité. Chaque partie déclare les sinistres sans délai et coopère à l'instruction des garanties.</w:t>
      </w:r>
    </w:p>
    <w:p>
      <w:pPr>
        <w:pStyle w:val="Intertitre"/>
      </w:pPr>
      <w:r>
        <w:t xml:space="preserve">Jouissance et nuisances</w:t>
      </w:r>
    </w:p>
    <w:p>
      <w:pPr>
        <w:pStyle w:val="Corps"/>
      </w:pPr>
      <w:r>
        <w:t xml:space="preserve">Le Preneur use paisiblement des locaux conformément à leur destination, aux horaires autorisés et aux droits des autres occupants. Il prévient les nuisances sonores, olfactives, visuelles, vibratoires ou liées aux livraisons, déchets et flux de clientèle. Il répond des troubles causés par ses salariés, prestataires, clients et occupants autorisés. Le Bailleur demeure tenu de faire respecter les droits nécessaires à la jouissance promise lorsque les troubles relèvent de son fait ou de ses pouvoirs.</w:t>
      </w:r>
    </w:p>
    <w:p>
      <w:pPr>
        <w:pStyle w:val="Intertitre"/>
      </w:pPr>
      <w:r>
        <w:t xml:space="preserve">Cession</w:t>
      </w:r>
    </w:p>
    <w:p>
      <w:pPr>
        <w:pStyle w:val="Corps"/>
      </w:pPr>
      <w:r>
        <w:t xml:space="preserve">Toute cession est réalisée conformément à [Modalités de cession] et aux règles impératives protégeant la cession du bail avec le fonds de commerce ou l'entreprise. Le projet identifie le cessionnaire, l'activité poursuivie, la date, les garanties, les formalités d'information et l'acte de cession. Les clauses d'agrément ou de concours du Bailleur ne peuvent faire obstacle aux transmissions légalement protégées. Toute garantie du cédant est appliquée dans sa durée et selon ses conditions légales.</w:t>
      </w:r>
    </w:p>
    <w:p>
      <w:pPr>
        <w:pStyle w:val="Intertitre"/>
      </w:pPr>
      <w:r>
        <w:t xml:space="preserve">Sous-location</w:t>
      </w:r>
    </w:p>
    <w:p>
      <w:pPr>
        <w:pStyle w:val="Corps"/>
      </w:pPr>
      <w:r>
        <w:t xml:space="preserve">Toute sous-location totale ou partielle est interdite, sauf autorisation écrite et préalable du Bailleur ou stipulation expresse contraire. Lorsqu'elle est admise, le Preneur informe le Bailleur de l'acte envisagé et lui permet d'y concourir dans les conditions légales. Le sous-bail précise les locaux, la durée, la destination, le sous-loyer et les charges ; il ne confère aucun droit supérieur à ceux du bail principal et cesse au plus tard avec lui.</w:t>
      </w:r>
    </w:p>
    <w:p>
      <w:pPr>
        <w:pStyle w:val="Intertitre"/>
      </w:pPr>
      <w:r>
        <w:t xml:space="preserve"> — choisir une seule variante</w:t>
      </w:r>
    </w:p>
    <w:p>
      <w:pPr>
        <w:pStyle w:val="Variante"/>
      </w:pPr>
      <w:r>
        <w:t xml:space="preserve">Variante : Absence de droit de préférence</w:t>
      </w:r>
    </w:p>
    <w:p>
      <w:pPr>
        <w:pStyle w:val="Corps"/>
      </w:pPr>
      <w:r>
        <w:t xml:space="preserve">Aucune procédure de droit légal de préférence n'est intégrée au bail lors de sa conclusion, aucune vente n'étant alors engagée. Si le Bailleur envisage ultérieurement une mutation, il vérifie à cette date la nature des locaux, celle de l'opération et l'existence d'une exclusion légale. Le motif d'exclusion et les pièces correspondantes doivent être conservés ; à défaut de contrôle concluant, la procédure de notification au Preneur est appliquée.</w:t>
      </w:r>
    </w:p>
    <w:p>
      <w:pPr>
        <w:pStyle w:val="Variante"/>
      </w:pPr>
      <w:r>
        <w:t xml:space="preserve">Variante : Droit de préférence</w:t>
      </w:r>
    </w:p>
    <w:p>
      <w:pPr>
        <w:pStyle w:val="Corps"/>
      </w:pPr>
      <w:r>
        <w:t xml:space="preserve">Lorsqu'une vente entre dans le champ du droit de préférence légal, le Bailleur notifie au Preneur le prix et les conditions de la cession par l'un des modes admis, la notification valant offre de vente. Les délais de réponse et de réalisation, y compris en cas de recours à un prêt, sont ceux du texte en vigueur au jour de l'opération. Toute vente à des conditions plus avantageuses exige une nouvelle information. Les exceptions sont interprétées selon la version applicable à la mutation.</w:t>
      </w:r>
    </w:p>
    <w:p>
      <w:pPr>
        <w:pStyle w:val="Intertitre"/>
      </w:pPr>
      <w:r>
        <w:t xml:space="preserve">Clause résolutoire</w:t>
      </w:r>
    </w:p>
    <w:p>
      <w:pPr>
        <w:pStyle w:val="Corps"/>
      </w:pPr>
      <w:r>
        <w:t xml:space="preserve">À défaut d'exécution d'une obligation expressément visée par un commandement régulier, le bail pourra être résilié de plein droit un mois après un commandement demeuré infructueux, lequel doit mentionner ce délai. La mise en œuvre respecte les pouvoirs du juge. En cas d'impayé, toute demande de délais et de suspension est appréciée au regard des conditions légales en vigueur, notamment de la capacité du Preneur à apurer la dette et de la reprise du paiement intégral du loyer courant.</w:t>
      </w:r>
    </w:p>
    <w:p>
      <w:pPr>
        <w:pStyle w:val="Intertitre"/>
      </w:pPr>
      <w:r>
        <w:t xml:space="preserve">Renouvellement et fin du bail</w:t>
      </w:r>
    </w:p>
    <w:p>
      <w:pPr>
        <w:pStyle w:val="Corps"/>
      </w:pPr>
      <w:r>
        <w:t xml:space="preserve">Le congé, la demande de renouvellement, la tacite prolongation, la fixation du loyer renouvelé et le refus de renouvellement sont régis par les formes, délais et effets légaux applicables au moment de l'acte. Le Bailleur qui refuse le renouvellement assume l'indemnité d'éviction, sauf exception légalement établie. Les parties organisent la restitution, l'état des lieux, les clés, l'apurement des charges, le sort des travaux, des garanties et des enseignes sans anticiper une renonciation au statut.</w:t>
      </w:r>
    </w:p>
    <w:p>
      <w:pPr>
        <w:pStyle w:val="Intertitre"/>
      </w:pPr>
      <w:r>
        <w:t xml:space="preserve">Diagnostics et état des risques</w:t>
      </w:r>
    </w:p>
    <w:p>
      <w:pPr>
        <w:pStyle w:val="Corps"/>
      </w:pPr>
      <w:r>
        <w:t xml:space="preserve">Le Bailleur remet les diagnostics, états, déclarations et informations environnementales applicables aux locaux et à l'opération. Les documents sont identifiés dans [Diagnostics et état des risques], datés, lisibles, encore valables à la date requise et cohérents avec l'adresse, les lots et l'usage des locaux. Toute actualisation nécessaire entre la signature et la prise d'effet est communiquée. La réception d'une annexe ne couvre ni une omission ni une information matériellement inexacte.</w:t>
      </w:r>
    </w:p>
    <w:p>
      <w:pPr>
        <w:pStyle w:val="Intertitre"/>
      </w:pPr>
      <w:r>
        <w:t xml:space="preserve">Liste des annexes</w:t>
      </w:r>
    </w:p>
    <w:p>
      <w:pPr>
        <w:pStyle w:val="Corps"/>
      </w:pPr>
      <w:r>
        <w:t xml:space="preserve">Sont annexés ou remis selon leur régime : les pouvoirs, titres utiles, plans, état des lieux, inventaire des charges, clés de répartition, états prévisionnel et récapitulatif des travaux, diagnostics, état des risques, attestations d'assurance, règlements opposables et justificatifs des garanties. Chaque annexe est nommée, datée et reliée au bail. L'absence d'une pièce nécessaire à la compréhension d'une obligation ou à un contrôle bloquant suspend la signature ou l'export du document.</w:t>
      </w:r>
    </w:p>
    <w:p>
      <w:pPr>
        <w:pStyle w:val="Intertitre"/>
      </w:pPr>
      <w:r>
        <w:t xml:space="preserve">Notifications</w:t>
      </w:r>
    </w:p>
    <w:p>
      <w:pPr>
        <w:pStyle w:val="Corps"/>
      </w:pPr>
      <w:r>
        <w:t xml:space="preserve">Les notifications contractuelles sont adressées aux coordonnées vérifiées figurant dans [Coordonnées de notification] et sont réputées reçues selon les modalités qui y sont précisées. Tout changement est notifié sans délai. Lorsqu'une disposition légale impose un auteur, un destinataire, un contenu, un délai ou une forme particulière, notamment pour un congé, une demande de renouvellement, une cession ou une clause résolutoire, cette règle prévaut sur la clause générale de notification.</w:t>
      </w:r>
    </w:p>
    <w:p>
      <w:pPr>
        <w:pStyle w:val="Intertitre"/>
      </w:pPr>
      <w:r>
        <w:t xml:space="preserve">Signatures</w:t>
      </w:r>
    </w:p>
    <w:p>
      <w:pPr>
        <w:pStyle w:val="Corps"/>
      </w:pPr>
      <w:r>
        <w:t xml:space="preserve">Après lecture du bail et contrôle de ses annexes, le Bailleur et le Preneur signent par leurs représentants habilités. Chaque signature comporte l'identité, la qualité, la date et, le cas échéant, la référence du pouvoir. Les annexes sont paraphées ou identifiées de manière non équivoque dans chaque exemplaire. Les réserves éventuelles sont écrites avant signature ; aucune mention postérieure non contresignée ne modifie l'accord. Chaque partie reçoit un exemplaire complet sur support durable.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