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BAIL DÉROGATOIRE OU CONVENTION D'OCCUPATION PRÉCAIRE</w:t>
      </w:r>
    </w:p>
    <w:p>
      <w:pPr>
        <w:pStyle w:val="Intertitre"/>
      </w:pPr>
      <w:r>
        <w:t xml:space="preserve">Parties</w:t>
      </w:r>
    </w:p>
    <w:p>
      <w:pPr>
        <w:pStyle w:val="Corps"/>
      </w:pPr>
      <w:r>
        <w:t xml:space="preserve">Entre [Bailleur], [Forme ou état civil du bailleur], dont l'adresse est [Adresse du bailleur], identifié par [Immatriculation du bailleur], représenté par [Représentant du bailleur] en qualité de [Qualité du représentant du bailleur], ci-après le « Bailleur », d'une part, et [Preneur ou occupant], [Forme ou état civil de l'occupant], dont l'adresse est [Adresse de l'occupant], identifié par [Immatriculation de l'occupant], représenté par [Représentant de l'occupant] en qualité de [Qualité du représentant de l'occupant], ci-après l'« Occupant », d'autre part. Le Bailleur et l'Occupant sont ensemble désignés les « Parties ». Chacune confirme que les renseignements d'identification qui la concernent sont exacts à la date de signature.</w:t>
      </w:r>
    </w:p>
    <w:p>
      <w:pPr>
        <w:pStyle w:val="Intertitre"/>
      </w:pPr>
      <w:r>
        <w:t xml:space="preserve">Capacité et pouvoirs</w:t>
      </w:r>
    </w:p>
    <w:p>
      <w:pPr>
        <w:pStyle w:val="Corps"/>
      </w:pPr>
      <w:r>
        <w:t xml:space="preserve">Chaque signataire déclare disposer de la capacité et des pouvoirs nécessaires pour conclure et exécuter la présente convention. Lorsque l'une des Parties est représentée, son représentant agit dans les limites d'un mandat, d'une délégation ou d'un pouvoir en vigueur. Les justificatifs de propriété, d'identité, d'immatriculation, de représentation et d'habilitation sont rapprochés des mentions de l'acte puis conservés avec l'exemplaire signé. Aucun signataire ne peut se prévaloir d'une qualité qui n'est pas établie par le dossier.</w:t>
      </w:r>
    </w:p>
    <w:p>
      <w:pPr>
        <w:pStyle w:val="Intertitre"/>
      </w:pPr>
      <w:r>
        <w:t xml:space="preserve">Désignation des locaux</w:t>
      </w:r>
    </w:p>
    <w:p>
      <w:pPr>
        <w:pStyle w:val="Corps"/>
      </w:pPr>
      <w:r>
        <w:t xml:space="preserve">L'occupation porte exclusivement sur les locaux situés [Adresse des locaux], décrits comme suit : [Désignation des locaux]. Leur surface déclarée est de [Surface déclarée] [Unité et nature de surface], selon [Justificatif de surface]. La désignation comprend les volumes, équipements et accès expressément mentionnés; elle exclut tout espace qui n'est pas identifié dans l'acte ou ses annexes. Les Parties rapprochent cette description du titre, des plans et du constat d'entrée avant remise des clés.</w:t>
      </w:r>
    </w:p>
    <w:p>
      <w:pPr>
        <w:pStyle w:val="Intertitre"/>
      </w:pPr>
      <w:r>
        <w:t xml:space="preserve">Clause optionnelle : Références cadastrales</w:t>
      </w:r>
    </w:p>
    <w:p>
      <w:pPr>
        <w:pStyle w:val="Corps"/>
      </w:pPr>
      <w:r>
        <w:t xml:space="preserve">Les locaux sont rattachés aux références cadastrales, lots ou volumes suivants : [Références cadastrales]. Ces références complètent l'adresse et la description matérielle sans se substituer au titre de propriété, à l'état descriptif de division ni aux plans annexés. En cas de divergence, les Parties font rectifier la désignation avant signature ou consignent précisément la réserve dans l'état des lieux d'entrée.</w:t>
      </w:r>
    </w:p>
    <w:p>
      <w:pPr>
        <w:pStyle w:val="Intertitre"/>
      </w:pPr>
      <w:r>
        <w:t xml:space="preserve">Clause optionnelle : Parties communes et accessoires</w:t>
      </w:r>
    </w:p>
    <w:p>
      <w:pPr>
        <w:pStyle w:val="Corps"/>
      </w:pPr>
      <w:r>
        <w:t xml:space="preserve">L'Occupant peut utiliser les parties communes et accessoires suivants : [Parties communes et accessoires]. Ce droit d'usage est limité aux besoins normaux de l'activité autorisée et s'exerce dans le respect du règlement de l'immeuble, des consignes de sécurité et des droits des autres occupants. Il n'emporte ni jouissance privative, ni droit de stockage, ni possibilité de modifier ces espaces sans accord écrit préalable du Bailleur et, le cas échéant, de l'autorité compétente.</w:t>
      </w:r>
    </w:p>
    <w:p>
      <w:pPr>
        <w:pStyle w:val="Intertitre"/>
      </w:pPr>
      <w:r>
        <w:t xml:space="preserve">Délivrance</w:t>
      </w:r>
    </w:p>
    <w:p>
      <w:pPr>
        <w:pStyle w:val="Corps"/>
      </w:pPr>
      <w:r>
        <w:t xml:space="preserve">Le Bailleur délivre les locaux dans l'état suivant : [État de délivrance]. La remise des clés, les équipements présents, les compteurs, les accès et les éventuelles réserves sont constatés contradictoirement. Le Bailleur maintient les locaux en état de servir à l'usage convenu, sous réserve des obligations expressément mises à la charge de l'Occupant. Celui-ci signale sans délai toute anomalie qui empêcherait l'usage prévu et ne peut accepter tacitement une modification non documentée de la consistance des locaux.</w:t>
      </w:r>
    </w:p>
    <w:p>
      <w:pPr>
        <w:pStyle w:val="Intertitre"/>
      </w:pPr>
      <w:r>
        <w:t xml:space="preserve">État des lieux d'entrée</w:t>
      </w:r>
    </w:p>
    <w:p>
      <w:pPr>
        <w:pStyle w:val="Corps"/>
      </w:pPr>
      <w:r>
        <w:t xml:space="preserve">Un état des lieux contradictoire est établi le [Date de l'état des lieux d'entrée] et conservé sous la référence [Référence de l'état des lieux d'entrée]. Il décrit pièce par pièce l'état des locaux, les équipements, les relevés de compteurs, les clés et moyens d'accès remis ainsi que les réserves éventuelles. Il est daté, signé et joint à la convention. Si son établissement amiable est impossible dans le cadre d'un bail dérogatoire, la Partie la plus diligente fait appliquer la procédure prévue par le régime légal concerné.</w:t>
      </w:r>
    </w:p>
    <w:p>
      <w:pPr>
        <w:pStyle w:val="Intertitre"/>
      </w:pPr>
      <w:r>
        <w:t xml:space="preserve">Régime d'occupation — choisir une seule variante</w:t>
      </w:r>
    </w:p>
    <w:p>
      <w:pPr>
        <w:pStyle w:val="Variante"/>
      </w:pPr>
      <w:r>
        <w:t xml:space="preserve">Variante : Bail dérogatoire</w:t>
      </w:r>
    </w:p>
    <w:p>
      <w:pPr>
        <w:pStyle w:val="Corps"/>
      </w:pPr>
      <w:r>
        <w:t xml:space="preserve">Les Parties choisissent expressément un bail dérogatoire lors de l'entrée dans les lieux et entendent, pendant la seule durée permise, déroger au statut des baux commerciaux. Ce choix repose sur la chronologie et la durée cumulée documentées dans l'acte. Il ne peut produire effet si les conditions légales ne sont pas réunies ou si le comportement postérieur des Parties entraîne l'application d'un autre régime. La dénomination donnée au contrat ne saurait, à elle seule, déterminer sa qualification.</w:t>
      </w:r>
    </w:p>
    <w:p>
      <w:pPr>
        <w:pStyle w:val="Variante"/>
      </w:pPr>
      <w:r>
        <w:t xml:space="preserve">Variante : Convention d'occupation précaire</w:t>
      </w:r>
    </w:p>
    <w:p>
      <w:pPr>
        <w:pStyle w:val="Corps"/>
      </w:pPr>
      <w:r>
        <w:t xml:space="preserve">Les Parties concluent une convention d'occupation précaire parce que l'occupation n'est autorisée qu'en raison d'une circonstance particulière indépendante de leur seule volonté. Cette circonstance, sa preuve et l'événement qui doit y mettre fin sont décrits dans l'acte. La précarité ne résulte donc ni d'une simple préférence pour un contrat court ni de la faculté discrétionnaire de l'une des Parties. La durée effectivement constatée reste subordonnée au maintien de cette cause objective.</w:t>
      </w:r>
    </w:p>
    <w:p>
      <w:pPr>
        <w:pStyle w:val="Intertitre"/>
      </w:pPr>
      <w:r>
        <w:t xml:space="preserve">Clause optionnelle : Durée dérogatoire cumulée</w:t>
      </w:r>
    </w:p>
    <w:p>
      <w:pPr>
        <w:pStyle w:val="Corps"/>
      </w:pPr>
      <w:r>
        <w:t xml:space="preserve">Le présent bail dérogatoire prend effet le [Date de prise d'effet] et expire le [Date d'échéance]. Sa durée est de [Durée du bail dérogatoire en mois] mois. Les baux ou occupations dérogatoires antérieurs concernant le même fonds dans les mêmes locaux sont recensés dans [Baux dérogatoires antérieurs] et représentent [Durée dérogatoire antérieure en mois] mois. La durée cumulée atteint ainsi [Durée dérogatoire cumulée en mois] mois, à comparer à la limite légale vérifiée de [Limite légale contrôlée en mois] mois. Aucune période antérieure ne doit être omise; toute incohérence suspend la finalisation de l'acte.</w:t>
      </w:r>
    </w:p>
    <w:p>
      <w:pPr>
        <w:pStyle w:val="Intertitre"/>
      </w:pPr>
      <w:r>
        <w:t xml:space="preserve">Clause optionnelle : Circonstance de précarité</w:t>
      </w:r>
    </w:p>
    <w:p>
      <w:pPr>
        <w:pStyle w:val="Corps"/>
      </w:pPr>
      <w:r>
        <w:t xml:space="preserve">L'occupation prend effet le [Date de prise d'effet]. Elle est consentie à titre précaire en raison de la circonstance objective suivante : [Circonstance objective de précarité]. Cette circonstance est établie par [Justificatif de la précarité] et demeure extérieure à la seule volonté des Parties. L'Occupant reconnaît avoir reçu les éléments lui permettant d'en mesurer la portée sur la stabilité de son occupation. Si la circonstance disparaît, se révèle inexacte ou ne justifie plus le régime retenu, les Parties réexaminent la qualification avant de poursuivre l'occupation.</w:t>
      </w:r>
    </w:p>
    <w:p>
      <w:pPr>
        <w:pStyle w:val="Intertitre"/>
      </w:pPr>
      <w:r>
        <w:t xml:space="preserve">Clause optionnelle : Fin liée à l'événement</w:t>
      </w:r>
    </w:p>
    <w:p>
      <w:pPr>
        <w:pStyle w:val="Corps"/>
      </w:pPr>
      <w:r>
        <w:t xml:space="preserve">La convention cesse lors de la réalisation de l'événement suivant : [Événement mettant fin à l'occupation]. Le Bailleur en informe l'Occupant par un moyen permettant d'établir le contenu et la date de réception. L'Occupant libère alors les lieux après un préavis de [Préavis lié à l'événement], sauf délai impératif différent ou accord écrit compatible avec la cause de précarité. La notification identifie l'événement réalisé, les opérations de sortie, la date de restitution et les comptes restant à arrêter.</w:t>
      </w:r>
    </w:p>
    <w:p>
      <w:pPr>
        <w:pStyle w:val="Intertitre"/>
      </w:pPr>
      <w:r>
        <w:t xml:space="preserve">Clause optionnelle : Maintien après l'échéance</w:t>
      </w:r>
    </w:p>
    <w:p>
      <w:pPr>
        <w:pStyle w:val="Corps"/>
      </w:pPr>
      <w:r>
        <w:t xml:space="preserve">À l'échéance du bail dérogatoire, l'Occupant doit cesser son activité dans les locaux, les libérer et restituer l'ensemble des clés et moyens d'accès. Les Parties organisent ces opérations suffisamment tôt pour conserver la preuve du départ. Si l'Occupant reste et est laissé en possession au-delà du délai prévu par la loi, un nouveau bail soumis au statut des baux commerciaux peut s'opérer. Aucune tolérance, quittance ou poursuite de facturation ne doit être traitée comme neutre sans analyse de ses conséquences.</w:t>
      </w:r>
    </w:p>
    <w:p>
      <w:pPr>
        <w:pStyle w:val="Intertitre"/>
      </w:pPr>
      <w:r>
        <w:t xml:space="preserve">Clause optionnelle : Départ et restitution à l’échéance</w:t>
      </w:r>
    </w:p>
    <w:p>
      <w:pPr>
        <w:pStyle w:val="Corps"/>
      </w:pPr>
      <w:r>
        <w:t xml:space="preserve">Le départ à l'échéance est organisé selon [Traitement à l’échéance]. L'Occupant cesse toute occupation, retire ses biens, remet les clés et participe au constat de sortie à la date convenue. Le Bailleur délivre un reçu des moyens d'accès restitués. Les consommations, réparations imputables, charges et garanties sont arrêtées sur la base des pièces disponibles, sans que l'apurement des comptes autorise à lui seul un maintien dans les lieux.</w:t>
      </w:r>
    </w:p>
    <w:p>
      <w:pPr>
        <w:pStyle w:val="Intertitre"/>
      </w:pPr>
      <w:r>
        <w:t xml:space="preserve">Clause optionnelle : Absence de maintien dans les lieux</w:t>
      </w:r>
    </w:p>
    <w:p>
      <w:pPr>
        <w:pStyle w:val="Corps"/>
      </w:pPr>
      <w:r>
        <w:t xml:space="preserve">Les Parties constatent qu'aucune occupation ne se poursuit au-delà de l'échéance. La libération matérielle des locaux, l'absence de biens ou d'activité résiduelle et la restitution de tous les moyens d'accès sont établies selon [Traitement à l’échéance]. Toute intervention ultérieure de l'Occupant nécessite un accord distinct et limité à son objet; elle ne doit pas permettre une reprise de possession tacite des locaux.</w:t>
      </w:r>
    </w:p>
    <w:p>
      <w:pPr>
        <w:pStyle w:val="Intertitre"/>
      </w:pPr>
      <w:r>
        <w:t xml:space="preserve">Clause optionnelle : Maintien dans les lieux à traiter</w:t>
      </w:r>
    </w:p>
    <w:p>
      <w:pPr>
        <w:pStyle w:val="Corps"/>
      </w:pPr>
      <w:r>
        <w:t xml:space="preserve">Les Parties constatent que l'Occupant demeure dans les lieux au-delà de l'échéance convenue. Cette situation est décrite dans [Traitement à l’échéance], avec les dates, échanges, paiements et remises de clés pertinents. Elles ne signent aucun document présentant ce maintien comme une simple prolongation du bail dérogatoire avant d'avoir déterminé le régime désormais applicable et les conséquences sur la durée, le loyer, le renouvellement et la sortie.</w:t>
      </w:r>
    </w:p>
    <w:p>
      <w:pPr>
        <w:pStyle w:val="Intertitre"/>
      </w:pPr>
      <w:r>
        <w:t xml:space="preserve">Absence de droit au renouvellement</w:t>
      </w:r>
    </w:p>
    <w:p>
      <w:pPr>
        <w:pStyle w:val="Corps"/>
      </w:pPr>
      <w:r>
        <w:t xml:space="preserve">La convention ne confère aucun droit contractuel automatique à son renouvellement ou à la conclusion d'une convention identique. Son terme, ou l'événement de fin pour l'occupation précaire, doit être effectivement mis en œuvre. Toute poursuite de la relation exige un examen préalable de la situation de fait, du régime légal et des actes déjà conclus. La preuve du départ, du maintien ou d'un nouvel accord est conservée afin d'éviter qu'une reconduction de fait ne soit confondue avec l'intention initiale des Parties.</w:t>
      </w:r>
    </w:p>
    <w:p>
      <w:pPr>
        <w:pStyle w:val="Intertitre"/>
      </w:pPr>
      <w:r>
        <w:t xml:space="preserve">Destination</w:t>
      </w:r>
    </w:p>
    <w:p>
      <w:pPr>
        <w:pStyle w:val="Corps"/>
      </w:pPr>
      <w:r>
        <w:t xml:space="preserve">Les locaux sont exclusivement destinés à l'activité suivante : [Activité autorisée]. L'Occupant les utilise de manière raisonnable, conformément à cette destination, à la configuration des lieux et aux autorisations obtenues. Il ne peut modifier la nature de l'activité, accueillir un usage incompatible ou augmenter substantiellement les contraintes imposées à l'immeuble sans accord écrit du Bailleur et vérification préalable des règles applicables. Le paiement du prix et le respect de la destination constituent des obligations essentielles.</w:t>
      </w:r>
    </w:p>
    <w:p>
      <w:pPr>
        <w:pStyle w:val="Intertitre"/>
      </w:pPr>
      <w:r>
        <w:t xml:space="preserve">Restrictions d'activité</w:t>
      </w:r>
    </w:p>
    <w:p>
      <w:pPr>
        <w:pStyle w:val="Corps"/>
      </w:pPr>
      <w:r>
        <w:t xml:space="preserve">Les activités suivantes sont interdites : [Activités interdites]. Sont également prohibés les usages créant un risque non assuré, une nuisance anormale, une surcharge des équipements ou une incompatibilité avec le règlement de l'immeuble. Toute demande d'extension ou de modification d'activité est adressée au Bailleur avec les justificatifs techniques et administratifs utiles. L'absence de réponse ne vaut pas autorisation, et une tolérance ponctuelle ne modifie pas la destination contractuelle.</w:t>
      </w:r>
    </w:p>
    <w:p>
      <w:pPr>
        <w:pStyle w:val="Intertitre"/>
      </w:pPr>
      <w:r>
        <w:t xml:space="preserve">Autorisations administratives</w:t>
      </w:r>
    </w:p>
    <w:p>
      <w:pPr>
        <w:pStyle w:val="Corps"/>
      </w:pPr>
      <w:r>
        <w:t xml:space="preserve">L'Occupant obtient, avant le début de l'activité, puis maintient pendant toute l'occupation les autorisations suivantes : [Autorisations administratives]. Il vérifie notamment, lorsqu'ils sont applicables, les règles d'urbanisme, d'accessibilité et de sécurité des établissements recevant du public, les prescriptions environnementales, les autorisations d'exploitation et les contraintes propres à l'activité. Le Bailleur remet les documents relevant de sa qualité de propriétaire. La convention ne garantit ni l'obtention d'une autorisation ni la conformité d'un projet qui n'a pas été décrit et contrôlé.</w:t>
      </w:r>
    </w:p>
    <w:p>
      <w:pPr>
        <w:pStyle w:val="Intertitre"/>
      </w:pPr>
      <w:r>
        <w:t xml:space="preserve">Clause optionnelle : Loyer</w:t>
      </w:r>
    </w:p>
    <w:p>
      <w:pPr>
        <w:pStyle w:val="Corps"/>
      </w:pPr>
      <w:r>
        <w:t xml:space="preserve">En contrepartie du bail dérogatoire, l'Occupant verse un loyer de [Loyer ou indemnité d'occupation] selon la périodicité [Périodicité]. Les modalités de paiement sont les suivantes : [Modalités de paiement]. La première échéance intervient le [Première échéance]. Chaque paiement est imputé selon le décompte contractuel et donne lieu à une pièce permettant d'identifier la période concernée. Le paiement tardif ne vaut ni acceptation d'un maintien après terme ni renonciation aux autres droits résultant de la convention.</w:t>
      </w:r>
    </w:p>
    <w:p>
      <w:pPr>
        <w:pStyle w:val="Intertitre"/>
      </w:pPr>
      <w:r>
        <w:t xml:space="preserve">Clause optionnelle : Indemnité d'occupation</w:t>
      </w:r>
    </w:p>
    <w:p>
      <w:pPr>
        <w:pStyle w:val="Corps"/>
      </w:pPr>
      <w:r>
        <w:t xml:space="preserve">En contrepartie de l'occupation précaire, l'Occupant verse une indemnité de [Loyer ou indemnité d'occupation] selon la périodicité [Périodicité]. Les modalités de paiement sont les suivantes : [Modalités de paiement]. La première échéance intervient le [Première échéance]. Cette qualification financière correspond au régime choisi et ne transforme pas la circonstance objective de précarité en simple faculté de résiliation. Les paiements sont justifiés par un relevé identifiant la période, les charges et, le cas échéant, la taxe appliquée.</w:t>
      </w:r>
    </w:p>
    <w:p>
      <w:pPr>
        <w:pStyle w:val="Intertitre"/>
      </w:pPr>
      <w:r>
        <w:t xml:space="preserve">Clause optionnelle : Taxe sur la valeur ajoutée</w:t>
      </w:r>
    </w:p>
    <w:p>
      <w:pPr>
        <w:pStyle w:val="Corps"/>
      </w:pPr>
      <w:r>
        <w:t xml:space="preserve">Le prix ou l'indemnité est soumis à la taxe sur la valeur ajoutée au taux de [Taux de TVA] %, sur le fondement documenté suivant : [Fondement du régime de TVA]. La taxe est calculée sur les sommes entrant dans son assiette et figure distinctement sur les pièces de facturation. Toute évolution du taux ou du régime n'est appliquée qu'à compter de sa date d'effet et sur la base d'une source ou d'un justificatif contrôlé. Aucun assujettissement, option ou exonération n'est déduit de la seule rédaction du contrat.</w:t>
      </w:r>
    </w:p>
    <w:p>
      <w:pPr>
        <w:pStyle w:val="Intertitre"/>
      </w:pPr>
      <w:r>
        <w:t xml:space="preserve">Indexation — choisir une seule variante</w:t>
      </w:r>
    </w:p>
    <w:p>
      <w:pPr>
        <w:pStyle w:val="Variante"/>
      </w:pPr>
      <w:r>
        <w:t xml:space="preserve">Variante : Absence d'indexation</w:t>
      </w:r>
    </w:p>
    <w:p>
      <w:pPr>
        <w:pStyle w:val="Corps"/>
      </w:pPr>
      <w:r>
        <w:t xml:space="preserve">Compte tenu de la durée et de l'économie de la convention, le prix n'est soumis à aucune indexation automatique pendant la période convenue. Il demeure donc inchangé sauf accord écrit des Parties ou conséquence d'une règle impérative applicable. Une révision ponctuelle, une nouvelle facturation ou la poursuite de paiements après le terme ne peut être assimilée à une clause d'indexation ni servir à prolonger implicitement l'occupation.</w:t>
      </w:r>
    </w:p>
    <w:p>
      <w:pPr>
        <w:pStyle w:val="Variante"/>
      </w:pPr>
      <w:r>
        <w:t xml:space="preserve">Variante : Indexation sur l'indice des loyers commerciaux</w:t>
      </w:r>
    </w:p>
    <w:p>
      <w:pPr>
        <w:pStyle w:val="Corps"/>
      </w:pPr>
      <w:r>
        <w:t xml:space="preserve">Le prix évolue selon l'indice [Indice d'indexation], avec pour valeur de base [Indice de base] et selon la périodicité [Périodicité d'indexation]. La variation est calculée en comparant des indices de même nature correspondant aux périodes prévues, sans créer une distorsion entre la durée de variation et celle qui sépare les révisions. La publication officielle retenue, sa période et sa date de consultation sont identifiées dans [Source officielle de l’indice]. En cas de disparition ou d'inapplicabilité de l'indice, les Parties déterminent un indice licite et cohérent avec l'activité.</w:t>
      </w:r>
    </w:p>
    <w:p>
      <w:pPr>
        <w:pStyle w:val="Variante"/>
      </w:pPr>
      <w:r>
        <w:t xml:space="preserve">Variante : Indexation sur l'indice des loyers des activités tertiaires</w:t>
      </w:r>
    </w:p>
    <w:p>
      <w:pPr>
        <w:pStyle w:val="Corps"/>
      </w:pPr>
      <w:r>
        <w:t xml:space="preserve">Le prix évolue selon l'indice [Indice d'indexation], avec pour valeur de base [Indice de base] et selon la périodicité [Périodicité d'indexation]. L'indice retenu doit correspondre à l'activité effectivement exercée et les valeurs comparées doivent couvrir des périodes cohérentes. La publication officielle, la période de référence et la date de consultation sont consignées dans [Source officielle de l’indice]. Si l'indice devient indisponible ou inadapté, aucune substitution automatique n'est pratiquée sans vérification et accord documenté.</w:t>
      </w:r>
    </w:p>
    <w:p>
      <w:pPr>
        <w:pStyle w:val="Intertitre"/>
      </w:pPr>
      <w:r>
        <w:t xml:space="preserve">Charges — choisir une seule variante</w:t>
      </w:r>
    </w:p>
    <w:p>
      <w:pPr>
        <w:pStyle w:val="Variante"/>
      </w:pPr>
      <w:r>
        <w:t xml:space="preserve">Variante : Charges sur dépenses réelles</w:t>
      </w:r>
    </w:p>
    <w:p>
      <w:pPr>
        <w:pStyle w:val="Corps"/>
      </w:pPr>
      <w:r>
        <w:t xml:space="preserve">L'Occupant rembourse les charges énumérées dans [Inventaire des charges] sur la base des dépenses effectivement exposées et justifiées. Une provision de [Montant des charges] est appelée selon la même périodicité que le prix, puis régularisée conformément à [Régularisation des charges]. Le décompte distingue chaque poste, la période et les sommes déjà versées. Les pièces justificatives sont tenues à disposition. Toute charge non identifiée ou étrangère aux locaux demeure supportée par la Partie à laquelle elle incombe.</w:t>
      </w:r>
    </w:p>
    <w:p>
      <w:pPr>
        <w:pStyle w:val="Variante"/>
      </w:pPr>
      <w:r>
        <w:t xml:space="preserve">Variante : Forfait de charges</w:t>
      </w:r>
    </w:p>
    <w:p>
      <w:pPr>
        <w:pStyle w:val="Corps"/>
      </w:pPr>
      <w:r>
        <w:t xml:space="preserve">L'Occupant verse un forfait de charges de [Montant des charges] couvrant exclusivement les postes suivants : [Inventaire des charges]. Aucun poste non mentionné ne peut être réclamé au titre de ce forfait. Le montant, sa périodicité et son éventuelle révision sont définis de manière autonome par rapport au prix principal. Une dépense exceptionnelle ou une modification de services ne donne lieu à un complément que si un accord écrit en précise l'objet, le montant et la période.</w:t>
      </w:r>
    </w:p>
    <w:p>
      <w:pPr>
        <w:pStyle w:val="Variante"/>
      </w:pPr>
      <w:r>
        <w:t xml:space="preserve">Variante : Charges incluses</w:t>
      </w:r>
    </w:p>
    <w:p>
      <w:pPr>
        <w:pStyle w:val="Corps"/>
      </w:pPr>
      <w:r>
        <w:t xml:space="preserve">Le prix convenu inclut intégralement les services et charges suivants : [Inventaire des charges]. Ces postes ne font l'objet d'aucun appel distinct pendant la période couverte. Les consommations ou dépenses non comprises restent à la charge de la Partie désignée par la convention ou font l'objet d'un accord écrit préalable. Le Bailleur informe l'Occupant de toute modification de service susceptible d'affecter l'usage des locaux, sans pouvoir créer un poste de facturation non prévu.</w:t>
      </w:r>
    </w:p>
    <w:p>
      <w:pPr>
        <w:pStyle w:val="Intertitre"/>
      </w:pPr>
      <w:r>
        <w:t xml:space="preserve">Impôts, taxes et redevances</w:t>
      </w:r>
    </w:p>
    <w:p>
      <w:pPr>
        <w:pStyle w:val="Corps"/>
      </w:pPr>
      <w:r>
        <w:t xml:space="preserve">La répartition contractuelle des impôts, taxes et redevances est la suivante : [Répartition des impôts et taxes]. Le décompte distingue les sommes personnelles à chaque Partie, celles rattachées à l'usage des locaux et les éventuelles périodes de prorata. Cette répartition ne modifie ni l'identité du redevable légal à l'égard de l'administration ni les règles impératives applicables. Toute refacturation est accompagnée d'un justificatif et ne couvre que la période effective d'occupation.</w:t>
      </w:r>
    </w:p>
    <w:p>
      <w:pPr>
        <w:pStyle w:val="Intertitre"/>
      </w:pPr>
      <w:r>
        <w:t xml:space="preserve">Garantie — choisir une seule variante</w:t>
      </w:r>
    </w:p>
    <w:p>
      <w:pPr>
        <w:pStyle w:val="Variante"/>
      </w:pPr>
      <w:r>
        <w:t xml:space="preserve">Variante : Absence de garantie financière</w:t>
      </w:r>
    </w:p>
    <w:p>
      <w:pPr>
        <w:pStyle w:val="Corps"/>
      </w:pPr>
      <w:r>
        <w:t xml:space="preserve">Aucun dépôt de garantie ni garantie bancaire n'est exigé au titre de la convention. Cette absence ne constitue ni une renonciation au paiement des sommes dues, ni une limitation de la responsabilité de l'Occupant pour les manquements ou dégradations qui lui sont imputables. Les comptes de sortie sont établis contradictoirement sur pièces, et toute somme réclamée doit être déterminée indépendamment de l'absence de garantie financière.</w:t>
      </w:r>
    </w:p>
    <w:p>
      <w:pPr>
        <w:pStyle w:val="Variante"/>
      </w:pPr>
      <w:r>
        <w:t xml:space="preserve">Variante : Dépôt de garantie</w:t>
      </w:r>
    </w:p>
    <w:p>
      <w:pPr>
        <w:pStyle w:val="Corps"/>
      </w:pPr>
      <w:r>
        <w:t xml:space="preserve">L'Occupant verse un dépôt de garantie de [Dépôt de garantie] afin de garantir l'exécution de ses obligations contractuelles. Il ne peut l'imputer unilatéralement sur les dernières échéances. Après libération complète des locaux, remise des clés et établissement du décompte, le solde est restitué selon [Restitution du dépôt]. Toute retenue est détaillée et justifiée; elle tient compte des sommes effectivement dues, de la vétusté et des responsabilités établies lors des opérations de sortie.</w:t>
      </w:r>
    </w:p>
    <w:p>
      <w:pPr>
        <w:pStyle w:val="Variante"/>
      </w:pPr>
      <w:r>
        <w:t xml:space="preserve">Variante : Garantie bancaire</w:t>
      </w:r>
    </w:p>
    <w:p>
      <w:pPr>
        <w:pStyle w:val="Corps"/>
      </w:pPr>
      <w:r>
        <w:t xml:space="preserve">L'Occupant remet une garantie bancaire conforme aux conditions suivantes : [Garantie bancaire]. Le texte émis par l'établissement garant précise le bénéficiaire, le montant, la durée, les conditions d'appel et celles de la libération. L'Occupant maintient la garantie en vigueur jusqu'à l'exécution des obligations couvertes et remet tout renouvellement avant l'échéance précédente. La convention ne complète ni ne modifie tacitement l'engagement autonome décrit dans l'acte bancaire.</w:t>
      </w:r>
    </w:p>
    <w:p>
      <w:pPr>
        <w:pStyle w:val="Intertitre"/>
      </w:pPr>
      <w:r>
        <w:t xml:space="preserve">Entretien et réparations courantes</w:t>
      </w:r>
    </w:p>
    <w:p>
      <w:pPr>
        <w:pStyle w:val="Corps"/>
      </w:pPr>
      <w:r>
        <w:t xml:space="preserve">L'Occupant assure l'entretien courant et les réparations suivantes : [Entretien à la charge de l'occupant]. Il utilise les équipements conformément à leur destination, respecte les contrats de maintenance requis et conserve les justificatifs d'intervention. Il informe immédiatement le Bailleur de tout désordre structurel, sinistre ou anomalie susceptible d'aggraver les dommages. Il ne supporte pas les travaux relevant du Bailleur ou rendus nécessaires par la vétusté, un vice ou un événement qui ne lui est pas imputable, sauf règle ou accord licite contraire.</w:t>
      </w:r>
    </w:p>
    <w:p>
      <w:pPr>
        <w:pStyle w:val="Intertitre"/>
      </w:pPr>
      <w:r>
        <w:t xml:space="preserve">Travaux du Bailleur</w:t>
      </w:r>
    </w:p>
    <w:p>
      <w:pPr>
        <w:pStyle w:val="Corps"/>
      </w:pPr>
      <w:r>
        <w:t xml:space="preserve">Le Bailleur conserve à sa charge les travaux suivants : [Travaux du bailleur]. Il en informe l'Occupant dans un délai compatible avec leur nature, précise les zones concernées, les mesures de sécurité et la durée prévisible, puis limite les perturbations de l'activité autant que possible. L'Occupant laisse l'accès nécessaire après notification. Les conséquences financières ou opérationnelles de travaux importants sont traitées selon la loi et l'accord des Parties, sans renonciation générale anticipée à un droit impératif.</w:t>
      </w:r>
    </w:p>
    <w:p>
      <w:pPr>
        <w:pStyle w:val="Intertitre"/>
      </w:pPr>
      <w:r>
        <w:t xml:space="preserve">Clause optionnelle : Travaux de l'Occupant</w:t>
      </w:r>
    </w:p>
    <w:p>
      <w:pPr>
        <w:pStyle w:val="Corps"/>
      </w:pPr>
      <w:r>
        <w:t xml:space="preserve">L'Occupant est autorisé à réaliser exclusivement les travaux suivants : [Travaux de l'occupant]. Avant leur commencement, il remet les plans, assurances, autorisations et qualifications des entreprises, puis obtient l'accord écrit requis. Il protège la structure, les réseaux, les parties communes et les tiers, et répond des dommages causés par ses interventions. La réception des travaux, leur conformité et le sort des aménagements à la restitution sont constatés par écrit; aucune autorisation n'est déduite du silence du Bailleur.</w:t>
      </w:r>
    </w:p>
    <w:p>
      <w:pPr>
        <w:pStyle w:val="Intertitre"/>
      </w:pPr>
      <w:r>
        <w:t xml:space="preserve">Assurances</w:t>
      </w:r>
    </w:p>
    <w:p>
      <w:pPr>
        <w:pStyle w:val="Corps"/>
      </w:pPr>
      <w:r>
        <w:t xml:space="preserve">Pendant toute la durée de l'occupation, l'Occupant maintient les garanties suivantes : [Assurances de l'occupant]. Il remet une attestation datée du [Date de l'attestation d'assurance] puis toute attestation renouvelée avant l'expiration de la précédente. Il déclare à son assureur la nature exacte des locaux, de l'activité, des équipements et du régime d'occupation. En cas de sinistre, il prend les mesures conservatoires, informe rapidement le Bailleur et transmet les références de déclaration utiles au suivi des dommages.</w:t>
      </w:r>
    </w:p>
    <w:p>
      <w:pPr>
        <w:pStyle w:val="Intertitre"/>
      </w:pPr>
      <w:r>
        <w:t xml:space="preserve">Jouissance paisible et nuisances</w:t>
      </w:r>
    </w:p>
    <w:p>
      <w:pPr>
        <w:pStyle w:val="Corps"/>
      </w:pPr>
      <w:r>
        <w:t xml:space="preserve">L'Occupant use paisiblement des locaux, respecte leur destination, le règlement de l'immeuble, les consignes de sécurité et les droits des tiers. Il évite les nuisances, encombrements, rejets, vibrations ou risques excédant ceux normalement attachés à l'activité autorisée. Le Bailleur garantit la jouissance contre les troubles relevant de son fait et organise ses interventions de manière proportionnée. Toute difficulté durable est signalée par écrit afin de permettre une mesure corrective et d'en conserver la chronologie.</w:t>
      </w:r>
    </w:p>
    <w:p>
      <w:pPr>
        <w:pStyle w:val="Intertitre"/>
      </w:pPr>
      <w:r>
        <w:t xml:space="preserve">Cession — choisir une seule variante</w:t>
      </w:r>
    </w:p>
    <w:p>
      <w:pPr>
        <w:pStyle w:val="Variante"/>
      </w:pPr>
      <w:r>
        <w:t xml:space="preserve">Variante : Interdiction de cession</w:t>
      </w:r>
    </w:p>
    <w:p>
      <w:pPr>
        <w:pStyle w:val="Corps"/>
      </w:pPr>
      <w:r>
        <w:t xml:space="preserve">Les droits issus de la convention sont personnels à l'Occupant et ne peuvent être cédés, apportés ou transmis, en tout ou partie. Toute substitution d'occupant ou mise à disposition organisée en méconnaissance de cette interdiction constitue un manquement contractuel. Une opération affectant le contrôle ou l'exploitation de l'Occupant n'emporte aucune autorisation d'occuper au profit d'un tiers. Une tolérance ponctuelle ne vaut ni agrément du cessionnaire ni renonciation à l'interdiction.</w:t>
      </w:r>
    </w:p>
    <w:p>
      <w:pPr>
        <w:pStyle w:val="Variante"/>
      </w:pPr>
      <w:r>
        <w:t xml:space="preserve">Variante : Cession autorisée sous conditions</w:t>
      </w:r>
    </w:p>
    <w:p>
      <w:pPr>
        <w:pStyle w:val="Corps"/>
      </w:pPr>
      <w:r>
        <w:t xml:space="preserve">Une cession peut être autorisée uniquement dans les conditions suivantes : [Conditions de cession]. L'Occupant transmet au Bailleur l'identité, la capacité, l'activité, les garanties et le projet d'acte du cessionnaire. La cession n'est opposable qu'après accord écrit, réalisation des conditions prévues et signature des actes nécessaires. Elle ne prolonge pas la durée de l'occupation, ne modifie pas sa qualification et ne libère le cédant que dans la mesure expressément convenue.</w:t>
      </w:r>
    </w:p>
    <w:p>
      <w:pPr>
        <w:pStyle w:val="Intertitre"/>
      </w:pPr>
      <w:r>
        <w:t xml:space="preserve">Sous-location — choisir une seule variante</w:t>
      </w:r>
    </w:p>
    <w:p>
      <w:pPr>
        <w:pStyle w:val="Variante"/>
      </w:pPr>
      <w:r>
        <w:t xml:space="preserve">Variante : Interdiction de sous-location</w:t>
      </w:r>
    </w:p>
    <w:p>
      <w:pPr>
        <w:pStyle w:val="Corps"/>
      </w:pPr>
      <w:r>
        <w:t xml:space="preserve">Toute sous-location, mise à disposition, domiciliation avec occupation ou installation d'un tiers est interdite, même à titre gratuit ou temporaire. L'Occupant conserve l'usage personnel des locaux et ne peut en partager la maîtrise matérielle. Une présence ponctuelle liée à son activité ne doit pas dissimuler une occupation autonome. Toute tolérance du Bailleur est d'interprétation stricte et ne vaut ni autorisation générale ni modification de la qualification ou de la durée de la convention.</w:t>
      </w:r>
    </w:p>
    <w:p>
      <w:pPr>
        <w:pStyle w:val="Variante"/>
      </w:pPr>
      <w:r>
        <w:t xml:space="preserve">Variante : Sous-location autorisée sous conditions</w:t>
      </w:r>
    </w:p>
    <w:p>
      <w:pPr>
        <w:pStyle w:val="Corps"/>
      </w:pPr>
      <w:r>
        <w:t xml:space="preserve">Une sous-location n'est admise que dans les conditions suivantes : [Conditions de sous-location]. L'identité du sous-occupant, les espaces concernés, l'activité, le prix, la durée et les assurances sont communiqués au Bailleur avant toute entrée dans les lieux. L'autorisation est écrite et limitée à son objet. L'Occupant demeure intégralement tenu envers le Bailleur, répond des actes du sous-occupant et veille à ce que la sous-location cesse au plus tard avec la convention principale.</w:t>
      </w:r>
    </w:p>
    <w:p>
      <w:pPr>
        <w:pStyle w:val="Intertitre"/>
      </w:pPr>
      <w:r>
        <w:t xml:space="preserve">Clause optionnelle : Résiliation anticipée</w:t>
      </w:r>
    </w:p>
    <w:p>
      <w:pPr>
        <w:pStyle w:val="Corps"/>
      </w:pPr>
      <w:r>
        <w:t xml:space="preserve">La convention peut être résiliée avant son terme dans les cas suivants : [Résiliation anticipée]. Sauf urgence ou inexécution insusceptible de régularisation, la Partie qui invoque un manquement adresse une notification décrivant les faits et laisse le délai convenu pour y remédier. La notification est effectuée selon [Notification de résiliation]. La résiliation ne dispense pas des opérations de restitution, de l'arrêté des comptes ni de la réparation des préjudices établis.</w:t>
      </w:r>
    </w:p>
    <w:p>
      <w:pPr>
        <w:pStyle w:val="Intertitre"/>
      </w:pPr>
      <w:r>
        <w:t xml:space="preserve">Notifications</w:t>
      </w:r>
    </w:p>
    <w:p>
      <w:pPr>
        <w:pStyle w:val="Corps"/>
      </w:pPr>
      <w:r>
        <w:t xml:space="preserve">Pour l'exécution de la convention, les Parties retiennent les adresses suivantes : [Adresses de notification]. Toute notification doit permettre d'établir son auteur, son contenu, sa date d'envoi et sa réception. Chaque Partie signale rapidement tout changement de coordonnées et en justifie la prise en compte. Une communication informelle ne remplace pas la forme exigée pour une résiliation, une mise en demeure, une autorisation de travaux ou tout acte auquel la convention attache un effet particulier.</w:t>
      </w:r>
    </w:p>
    <w:p>
      <w:pPr>
        <w:pStyle w:val="Intertitre"/>
      </w:pPr>
      <w:r>
        <w:t xml:space="preserve">Restitution des locaux</w:t>
      </w:r>
    </w:p>
    <w:p>
      <w:pPr>
        <w:pStyle w:val="Corps"/>
      </w:pPr>
      <w:r>
        <w:t xml:space="preserve">À la fin de l'occupation, l'Occupant libère les locaux de toute personne et de tout bien lui appartenant, puis les restitue dans l'état suivant : [État attendu à la restitution]. Il remet les clés et moyens d'accès décrits comme suit : [Clés et moyens d'accès]. Les Parties tiennent compte de l'état d'entrée, des travaux autorisés, de la vétusté et de la force majeure pour déterminer les réparations imputables. Les biens abandonnés, consommations et frais de remise en état sont traités sur justificatifs et selon la procédure applicable.</w:t>
      </w:r>
    </w:p>
    <w:p>
      <w:pPr>
        <w:pStyle w:val="Intertitre"/>
      </w:pPr>
      <w:r>
        <w:t xml:space="preserve">État des lieux de sortie</w:t>
      </w:r>
    </w:p>
    <w:p>
      <w:pPr>
        <w:pStyle w:val="Corps"/>
      </w:pPr>
      <w:r>
        <w:t xml:space="preserve">Un état des lieux contradictoire de sortie est établi le [Date de l'état des lieux de sortie]. Il relève l'état de chaque espace et équipement, les compteurs, les clés restituées, les dommages allégués et les réserves des Parties. Il est comparé au constat d'entrée afin de distinguer l'usure normale, la vétusté, les travaux autorisés, les événements non imputables et les dégradations éventuelles. Il est daté, signé et joint au dossier de sortie, sans préjuger à lui seul du décompte financier définitif.</w:t>
      </w:r>
    </w:p>
    <w:p>
      <w:pPr>
        <w:pStyle w:val="Intertitre"/>
      </w:pPr>
      <w:r>
        <w:t xml:space="preserve">Annexes</w:t>
      </w:r>
    </w:p>
    <w:p>
      <w:pPr>
        <w:pStyle w:val="Corps"/>
      </w:pPr>
      <w:r>
        <w:t xml:space="preserve">Les annexes contractuelles sont les suivantes : [Annexes]. La liste est adaptée aux caractéristiques réelles des locaux, de l'immeuble, de l'activité et du régime d'occupation. Chaque document est identifié par son titre, sa date, sa période de validité et, le cas échéant, son auteur. Les plans, états des lieux, diagnostics, informations sur les risques, autorisations, règlements et justificatifs de pouvoirs applicables sont rattachés à la même version que l'acte signé. Une annexe manquante ou périmée est régularisée avant la signature.</w:t>
      </w:r>
    </w:p>
    <w:p>
      <w:pPr>
        <w:pStyle w:val="Intertitre"/>
      </w:pPr>
      <w:r>
        <w:t xml:space="preserve">Information sur les risques et diagnostics</w:t>
      </w:r>
    </w:p>
    <w:p>
      <w:pPr>
        <w:pStyle w:val="Corps"/>
      </w:pPr>
      <w:r>
        <w:t xml:space="preserve">Avant la signature, le Bailleur et l'Occupant déterminent les informations immobilières, états, diagnostics et autorisations applicables à la situation des locaux. Lorsque le bien entre dans le champ de l'information sur les risques, l'état requis est remis dans les conditions légales et annexé lorsqu'il doit l'être. Le dossier identifie également, selon le cas, les contraintes environnementales, l'accessibilité et la sécurité d'un établissement recevant du public, les règles de l'immeuble et les autorisations liées à l'activité. Aucune annexe n'est présumée applicable ou satisfaite sans vérification de son champ et de sa validité.</w:t>
      </w:r>
    </w:p>
    <w:p>
      <w:pPr>
        <w:pStyle w:val="Intertitre"/>
      </w:pPr>
      <w:r>
        <w:t xml:space="preserve">Clause optionnelle : Signature électronique</w:t>
      </w:r>
    </w:p>
    <w:p>
      <w:pPr>
        <w:pStyle w:val="Corps"/>
      </w:pPr>
      <w:r>
        <w:t xml:space="preserve">Les Parties recourent à une signature électronique rattachée à l'enveloppe ou au certificat [Signature électronique]. Le procédé utilisé permet d'identifier chaque signataire, de manifester son consentement et de garantir le lien entre la signature et la version complète de l'acte. Le fichier signé, son intégrité, son horodatage, les preuves d'identification et les annexes sont conservés ensemble dans des conditions permettant leur consultation et leur production ultérieure.</w:t>
      </w:r>
    </w:p>
    <w:p>
      <w:pPr>
        <w:pStyle w:val="Intertitre"/>
      </w:pPr>
      <w:r>
        <w:t xml:space="preserve">Signatures</w:t>
      </w:r>
    </w:p>
    <w:p>
      <w:pPr>
        <w:pStyle w:val="Corps"/>
      </w:pPr>
      <w:r>
        <w:t xml:space="preserve">Fait à [Lieu de signature], le [Date de signature], en autant d'exemplaires ou d'originaux électroniques que nécessaire. Le Bailleur signe sous le nom [Signature du bailleur] et l'Occupant sous le nom [Signature de l'occupant]. Chaque signataire reconnaît avoir pris connaissance de l'intégralité des stipulations qui lui sont applicables, des choix de régime et des annexes rattachées. Les signatures sont apposées sur une version identique, après vérification des pouvoirs et sans blanc non expliqué dans les champs essentiels.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