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BAIL PROFESSIONNEL</w:t>
      </w:r>
    </w:p>
    <w:p>
      <w:pPr>
        <w:pStyle w:val="Intertitre"/>
      </w:pPr>
      <w:r>
        <w:t xml:space="preserve">Parties</w:t>
      </w:r>
    </w:p>
    <w:p>
      <w:pPr>
        <w:pStyle w:val="Corps"/>
      </w:pPr>
      <w:r>
        <w:t xml:space="preserve">Entre [Bailleur], [Forme ou état civil du bailleur], dont l'adresse est [Adresse du bailleur], identifié sous [Immatriculation du bailleur], représenté par [Représentant du bailleur] en qualité de [Qualité du représentant du bailleur], ci-après le Bailleur, et [Locataire], [Forme ou état civil du locataire], dont l'adresse est [Adresse du locataire], identifié sous [Immatriculation du locataire], représenté par [Représentant du locataire] en qualité de [Qualité du représentant du locataire], ci-après le Locataire. Les parties élisent domicile à leurs adresses respectives pour l'exécution du bail, sous réserve d'un changement régulièrement notifié.</w:t>
      </w:r>
    </w:p>
    <w:p>
      <w:pPr>
        <w:pStyle w:val="Intertitre"/>
      </w:pPr>
      <w:r>
        <w:t xml:space="preserve">Capacité et pouvoirs</w:t>
      </w:r>
    </w:p>
    <w:p>
      <w:pPr>
        <w:pStyle w:val="Corps"/>
      </w:pPr>
      <w:r>
        <w:t xml:space="preserve">Chaque signataire déclare disposer de la capacité et des pouvoirs nécessaires pour conclure le bail et exécuter les obligations qu'il contient. Les titres de propriété ou d'habilitation, extraits d'immatriculation, statuts, décisions sociales, délégations et mandats sont contrôlés avant signature et conservés avec le dossier. La seule mention d'un représentant dans l'acte ne permet pas de présumer l'existence ou l'étendue de son pouvoir.</w:t>
      </w:r>
    </w:p>
    <w:p>
      <w:pPr>
        <w:pStyle w:val="Intertitre"/>
      </w:pPr>
      <w:r>
        <w:t xml:space="preserve">Forme écrite</w:t>
      </w:r>
    </w:p>
    <w:p>
      <w:pPr>
        <w:pStyle w:val="Corps"/>
      </w:pPr>
      <w:r>
        <w:t xml:space="preserve">Le présent bail est établi par écrit conformément au régime du bail professionnel. Il constate l'identité des parties, la désignation des locaux, leur affectation exclusivement professionnelle, la durée, le loyer, les charges, les garanties et les conditions de sortie. Ses annexes forment avec lui un ensemble indivisible. Toute modification exige un écrit signé identifiant les stipulations remplacées, sans pouvoir être déduite d'une simple tolérance.</w:t>
      </w:r>
    </w:p>
    <w:p>
      <w:pPr>
        <w:pStyle w:val="Intertitre"/>
      </w:pPr>
      <w:r>
        <w:t xml:space="preserve">Usage exclusivement professionnel</w:t>
      </w:r>
    </w:p>
    <w:p>
      <w:pPr>
        <w:pStyle w:val="Corps"/>
      </w:pPr>
      <w:r>
        <w:t xml:space="preserve">Les locaux sont affectés exclusivement à l'activité professionnelle non commerciale suivante : [Activité professionnelle], exercée sous le titre, la profession ou la qualification [Titre ou qualification professionnelle]. Le Locataire s'interdit toute activité commerciale ou artisanale impliquant l'exploitation d'un fonds dans les locaux ainsi que tout usage d'habitation. Toute évolution de l'activité est signalée au Bailleur et contrôlée avant sa mise en œuvre afin de préserver la qualification du bail.</w:t>
      </w:r>
    </w:p>
    <w:p>
      <w:pPr>
        <w:pStyle w:val="Intertitre"/>
      </w:pPr>
      <w:r>
        <w:t xml:space="preserve">Clause optionnelle : Inscription professionnelle</w:t>
      </w:r>
    </w:p>
    <w:p>
      <w:pPr>
        <w:pStyle w:val="Corps"/>
      </w:pPr>
      <w:r>
        <w:t xml:space="preserve">Le Locataire justifie de l'inscription, de l'agrément ou de l'autorisation professionnelle suivante : [Inscription professionnelle]. Il maintient cette condition pendant toute la durée du bail et informe immédiatement le Bailleur de toute suspension, restriction ou radiation affectant l'exercice dans les locaux. Cette stipulation ne transfère pas au Bailleur le contrôle déontologique ou technique qui incombe au professionnel et à son autorité compétente.</w:t>
      </w:r>
    </w:p>
    <w:p>
      <w:pPr>
        <w:pStyle w:val="Intertitre"/>
      </w:pPr>
      <w:r>
        <w:t xml:space="preserve">Régime professionnel retenu</w:t>
      </w:r>
    </w:p>
    <w:p>
      <w:pPr>
        <w:pStyle w:val="Corps"/>
      </w:pPr>
      <w:r>
        <w:t xml:space="preserve">Les parties soumettent leur relation au régime du bail professionnel et n'adoptent pas conventionnellement le statut des baux commerciaux. Elles reconnaissent que la qualification dépend notamment de l'usage réel des locaux. Toute volonté ultérieure d'opter pour le statut commercial, lorsqu'elle est juridiquement possible, doit faire l'objet d'un acte distinct après examen de ses effets sur la durée, le renouvellement, le congé, le loyer et la cession.</w:t>
      </w:r>
    </w:p>
    <w:p>
      <w:pPr>
        <w:pStyle w:val="Intertitre"/>
      </w:pPr>
      <w:r>
        <w:t xml:space="preserve"> — choisir une seule variante</w:t>
      </w:r>
    </w:p>
    <w:p>
      <w:pPr>
        <w:pStyle w:val="Variante"/>
      </w:pPr>
      <w:r>
        <w:t xml:space="preserve">Variante : Régime professionnel applicable</w:t>
      </w:r>
    </w:p>
    <w:p>
      <w:pPr>
        <w:pStyle w:val="Corps"/>
      </w:pPr>
      <w:r>
        <w:t xml:space="preserve">Le présent bail est consenti pour l'exercice exclusif de l'activité professionnelle non commerciale décrite aux présentes. Aucun fonds commercial ou artisanal n'est exploité dans les locaux et aucun usage d'habitation n'est autorisé. Les parties retiennent le régime de l'article 57 A de la loi n° 86-1290, complété par les règles du Code civil et leurs stipulations contractuelles compatibles.</w:t>
      </w:r>
    </w:p>
    <w:p>
      <w:pPr>
        <w:pStyle w:val="Variante"/>
      </w:pPr>
      <w:r>
        <w:t xml:space="preserve">Variante : Activité commerciale incompatible</w:t>
      </w:r>
    </w:p>
    <w:p>
      <w:pPr>
        <w:pStyle w:val="Corps"/>
      </w:pPr>
      <w:r>
        <w:t xml:space="preserve">L'activité ou le régime déclaré implique l'exploitation d'un fonds commercial ou artisanal et ne correspond pas à l'usage exclusivement professionnel non commercial requis. Un bail relevant du statut des baux commerciaux doit être préparé après contrôle de ses propres conditions. La présente branche constate cette incompatibilité et interdit l'émission d'un bail professionnel susceptible de recevoir une qualification erronée.</w:t>
      </w:r>
    </w:p>
    <w:p>
      <w:pPr>
        <w:pStyle w:val="Variante"/>
      </w:pPr>
      <w:r>
        <w:t xml:space="preserve">Variante : Usage mixte incompatible</w:t>
      </w:r>
    </w:p>
    <w:p>
      <w:pPr>
        <w:pStyle w:val="Corps"/>
      </w:pPr>
      <w:r>
        <w:t xml:space="preserve">L'usage déclaré combine une habitation et une activité professionnelle. Cette situation ne relève pas du présent modèle, limité à un usage exclusivement professionnel. Le régime résidentiel ou mixte applicable, l'affectation administrative, la destination de l'immeuble et les protections attachées à l'habitation doivent être déterminés avant toute rédaction. L'émission du présent bail est donc refusée dans cette configuration.</w:t>
      </w:r>
    </w:p>
    <w:p>
      <w:pPr>
        <w:pStyle w:val="Intertitre"/>
      </w:pPr>
      <w:r>
        <w:t xml:space="preserve">Désignation des locaux</w:t>
      </w:r>
    </w:p>
    <w:p>
      <w:pPr>
        <w:pStyle w:val="Corps"/>
      </w:pPr>
      <w:r>
        <w:t xml:space="preserve">Le bail porte sur les locaux situés [Adresse des locaux], décrits comme suit : [Désignation des locaux]. Leur surface déclarée est de [Surface déclarée] [Unité et nature de surface], établie d'après [Justificatif de surface]. La désignation précise les pièces, accès, dépendances, équipements privatifs et limites matérielles. Les plans ou relevés annexés complètent cette description et permettent d'identifier sans ambiguïté ce qui est remis au Locataire et ce qui demeure exclu.</w:t>
      </w:r>
    </w:p>
    <w:p>
      <w:pPr>
        <w:pStyle w:val="Intertitre"/>
      </w:pPr>
      <w:r>
        <w:t xml:space="preserve">Clause optionnelle : Références cadastrales</w:t>
      </w:r>
    </w:p>
    <w:p>
      <w:pPr>
        <w:pStyle w:val="Corps"/>
      </w:pPr>
      <w:r>
        <w:t xml:space="preserve">Les locaux sont rattachés aux références cadastrales, de copropriété ou de lot suivantes : [Références cadastrales]. Ces références complètent la désignation matérielle sans se substituer aux titres, plans et règlements opposables. En cas de divergence, les parties vérifient la consistance réellement délivrée et régularisent l'annexe avant la signature ou la remise des clés.</w:t>
      </w:r>
    </w:p>
    <w:p>
      <w:pPr>
        <w:pStyle w:val="Intertitre"/>
      </w:pPr>
      <w:r>
        <w:t xml:space="preserve">Clause optionnelle : Parties communes et accessoires</w:t>
      </w:r>
    </w:p>
    <w:p>
      <w:pPr>
        <w:pStyle w:val="Corps"/>
      </w:pPr>
      <w:r>
        <w:t xml:space="preserve">Le Locataire peut utiliser les parties communes, accès et accessoires suivants : [Parties communes et accessoires]. Cet usage s'exerce conformément à leur destination, au règlement de l'immeuble, aux horaires et aux droits des autres occupants. Il ne confère aucun droit privatif et peut être adapté pour des motifs objectifs de sécurité ou de gestion, sans priver le Locataire de l'accès nécessaire à son activité autorisée.</w:t>
      </w:r>
    </w:p>
    <w:p>
      <w:pPr>
        <w:pStyle w:val="Intertitre"/>
      </w:pPr>
      <w:r>
        <w:t xml:space="preserve">Délivrance</w:t>
      </w:r>
    </w:p>
    <w:p>
      <w:pPr>
        <w:pStyle w:val="Corps"/>
      </w:pPr>
      <w:r>
        <w:t xml:space="preserve">Le Bailleur délivre les locaux dans l'état suivant : [État de délivrance], avec les équipements et accès convenus. Il garantit une consistance compatible avec la destination contractuelle, sous réserve des autorisations propres à l'activité du Locataire. La remise effective, les réserves, travaux préalables et délais de reprise sont constatés contradictoirement. La prise de possession ne vaut pas renonciation aux défauts ou obligations qui ne pouvaient être raisonnablement décelés lors de l'entrée.</w:t>
      </w:r>
    </w:p>
    <w:p>
      <w:pPr>
        <w:pStyle w:val="Intertitre"/>
      </w:pPr>
      <w:r>
        <w:t xml:space="preserve">État des lieux d'entrée</w:t>
      </w:r>
    </w:p>
    <w:p>
      <w:pPr>
        <w:pStyle w:val="Corps"/>
      </w:pPr>
      <w:r>
        <w:t xml:space="preserve">Un état des lieux contradictoire d'entrée est établi le [Date de l'état des lieux d'entrée] et conservé sous la référence [Référence de l'état des lieux d'entrée]. Il décrit chaque pièce, revêtement, équipement, compteur, clé et moyen d'accès, avec photographies si nécessaire. Les réserves et travaux restant à exécuter sont attribués et datés. Ce document servira de référence lors de la restitution, sans faire obstacle à la preuve d'un vice ou désordre non apparent.</w:t>
      </w:r>
    </w:p>
    <w:p>
      <w:pPr>
        <w:pStyle w:val="Intertitre"/>
      </w:pPr>
      <w:r>
        <w:t xml:space="preserve">Destination professionnelle</w:t>
      </w:r>
    </w:p>
    <w:p>
      <w:pPr>
        <w:pStyle w:val="Corps"/>
      </w:pPr>
      <w:r>
        <w:t xml:space="preserve">Les locaux sont utilisés conformément à la destination suivante : [Usage autorisé]. Le Locataire exerce son activité de manière raisonnable, dans le respect de sa profession, de la destination de l'immeuble et des droits des tiers. Toute adjonction d'activité, réception nouvelle du public, installation technique ou changement d'organisation susceptible d'affecter les locaux doit être préalablement examiné et, lorsqu'il est requis, autorisé par écrit.</w:t>
      </w:r>
    </w:p>
    <w:p>
      <w:pPr>
        <w:pStyle w:val="Intertitre"/>
      </w:pPr>
      <w:r>
        <w:t xml:space="preserve">Usages interdits</w:t>
      </w:r>
    </w:p>
    <w:p>
      <w:pPr>
        <w:pStyle w:val="Corps"/>
      </w:pPr>
      <w:r>
        <w:t xml:space="preserve">Sont interdits les usages suivants : [Usages interdits]. Sont également exclus l'habitation, l'exploitation d'un fonds commercial ou artisanal, le stockage dangereux et toute occupation contraire aux règles de sécurité ou à la destination de l'immeuble. Une tolérance ponctuelle ne modifie pas la destination. Toute demande d'évolution doit être écrite et faire l'objet d'un contrôle du régime locatif avant accord du Bailleur.</w:t>
      </w:r>
    </w:p>
    <w:p>
      <w:pPr>
        <w:pStyle w:val="Intertitre"/>
      </w:pPr>
      <w:r>
        <w:t xml:space="preserve">Autorisations et règles professionnelles</w:t>
      </w:r>
    </w:p>
    <w:p>
      <w:pPr>
        <w:pStyle w:val="Corps"/>
      </w:pPr>
      <w:r>
        <w:t xml:space="preserve">Le Locataire obtient, renouvelle et respecte les autorisations, inscriptions et prescriptions suivantes : [Autorisations et conformité professionnelle]. Pour une profession réglementée, il vérifie les règles ordinales ou sectorielles ; en cas d'accueil du public, il contrôle l'accessibilité, la sécurité incendie et la capacité des locaux. Le bail ne garantit pas la délivrance d'une autorisation propre à l'activité, mais le Bailleur fournit les pièces immobilières dont il dispose et qui sont nécessaires à son instruction.</w:t>
      </w:r>
    </w:p>
    <w:p>
      <w:pPr>
        <w:pStyle w:val="Intertitre"/>
      </w:pPr>
      <w:r>
        <w:t xml:space="preserve">Durée initiale</w:t>
      </w:r>
    </w:p>
    <w:p>
      <w:pPr>
        <w:pStyle w:val="Corps"/>
      </w:pPr>
      <w:r>
        <w:t xml:space="preserve">Le bail prend effet le [Date de prise d'effet] et expire le [Échéance contractuelle]. Sa durée initiale est de [Durée initiale en mois] mois ; elle doit être au moins égale au minimum légal applicable de [Minimum légal contrôlé en mois] mois. La cohérence entre la date d'effet, le terme et la durée est contrôlée avant signature. Toute période de mise à disposition anticipée ou de travaux est documentée sans réduire la durée légale du bail.</w:t>
      </w:r>
    </w:p>
    <w:p>
      <w:pPr>
        <w:pStyle w:val="Intertitre"/>
      </w:pPr>
      <w:r>
        <w:t xml:space="preserve">Reconduction tacite</w:t>
      </w:r>
    </w:p>
    <w:p>
      <w:pPr>
        <w:pStyle w:val="Corps"/>
      </w:pPr>
      <w:r>
        <w:t xml:space="preserve">À l'échéance, faute de notification régulière de non-renouvellement, le bail est reconduit tacitement pour la même durée. La reconduction poursuit les stipulations compatibles avec la nouvelle période, sous réserve des modifications écrites convenues. Elle ne transforme pas le bail en bail commercial, ne crée pas d'indemnité d'éviction et n'efface pas les comptes, réserves ou obligations nés pendant la période précédente.</w:t>
      </w:r>
    </w:p>
    <w:p>
      <w:pPr>
        <w:pStyle w:val="Intertitre"/>
      </w:pPr>
      <w:r>
        <w:t xml:space="preserve">Congé du Locataire à tout moment</w:t>
      </w:r>
    </w:p>
    <w:p>
      <w:pPr>
        <w:pStyle w:val="Corps"/>
      </w:pPr>
      <w:r>
        <w:t xml:space="preserve">Le Locataire peut notifier à tout moment son intention de quitter les locaux en respectant un préavis de [Préavis du locataire]. Pour la date de départ envisagée, la notification intervient au plus tard le [Date limite de congé du Locataire]. Le loyer, les charges et les obligations d'entretien restent dus jusqu'à l'expiration du préavis, sauf accord écrit contraire ou relocation organisée avec le Bailleur. La remise anticipée des clés ne réduit pas seule la période due.</w:t>
      </w:r>
    </w:p>
    <w:p>
      <w:pPr>
        <w:pStyle w:val="Intertitre"/>
      </w:pPr>
      <w:r>
        <w:t xml:space="preserve">Non-renouvellement à l'échéance</w:t>
      </w:r>
    </w:p>
    <w:p>
      <w:pPr>
        <w:pStyle w:val="Corps"/>
      </w:pPr>
      <w:r>
        <w:t xml:space="preserve">Chacune des parties peut notifier à l'autre son intention de ne pas renouveler le bail à son expiration en respectant un préavis de [Préavis de non-renouvellement]. Pour l'échéance contractuelle, la notification doit intervenir au plus tard le [Date limite de non-reconduction]. Elle identifie le bail, les locaux et la date de fin. Une notification tardive est appréciée au regard de ses effets sur la reconduction et ne vaut pas automatiquement congé à une autre date.</w:t>
      </w:r>
    </w:p>
    <w:p>
      <w:pPr>
        <w:pStyle w:val="Intertitre"/>
      </w:pPr>
      <w:r>
        <w:t xml:space="preserve">Forme des notifications légales</w:t>
      </w:r>
    </w:p>
    <w:p>
      <w:pPr>
        <w:pStyle w:val="Corps"/>
      </w:pPr>
      <w:r>
        <w:t xml:space="preserve">Le départ du Locataire et le non-renouvellement à l'échéance sont notifiés par lettre recommandée avec demande d'avis de réception ou par acte de commissaire de justice. L'auteur conserve une copie intégrale, la preuve d'envoi et la preuve de réception ou de signification. Les parties ne peuvent remplacer ces formes par un courriel ordinaire ou une clause générale de notification lorsque le texte impose l'un de ces modes.</w:t>
      </w:r>
    </w:p>
    <w:p>
      <w:pPr>
        <w:pStyle w:val="Intertitre"/>
      </w:pPr>
      <w:r>
        <w:t xml:space="preserve">Absence de propriété commerciale</w:t>
      </w:r>
    </w:p>
    <w:p>
      <w:pPr>
        <w:pStyle w:val="Corps"/>
      </w:pPr>
      <w:r>
        <w:t xml:space="preserve">Le bail professionnel n'ouvre pas, par lui-même, de droit statutaire au renouvellement ni d'indemnité d'éviction. Sa reconduction et sa cessation obéissent au régime décrit aux présentes. Cette clause ne permet toutefois pas d'écarter un statut impératif qui résulterait de l'usage réel des locaux ni une option expresse valablement exercée pour le statut des baux commerciaux. Toute divergence entre l'activité déclarée et l'activité exercée doit être analysée.</w:t>
      </w:r>
    </w:p>
    <w:p>
      <w:pPr>
        <w:pStyle w:val="Intertitre"/>
      </w:pPr>
      <w:r>
        <w:t xml:space="preserve">Loyer</w:t>
      </w:r>
    </w:p>
    <w:p>
      <w:pPr>
        <w:pStyle w:val="Corps"/>
      </w:pPr>
      <w:r>
        <w:t xml:space="preserve">Le Locataire verse un loyer de [Loyer] selon la périodicité [Périodicité du loyer]. Les modalités de paiement sont les suivantes : [Modalités de paiement] ; la première échéance intervient le [Première échéance]. Chaque appel distingue le loyer, la TVA éventuelle, les charges et toute régularisation. Le paiement donne lieu à un justificatif traçable. Aucune somme non prévue par le bail ou non justifiée ne peut être ajoutée au loyer principal.</w:t>
      </w:r>
    </w:p>
    <w:p>
      <w:pPr>
        <w:pStyle w:val="Intertitre"/>
      </w:pPr>
      <w:r>
        <w:t xml:space="preserve">Clause optionnelle : Taxe sur la valeur ajoutée</w:t>
      </w:r>
    </w:p>
    <w:p>
      <w:pPr>
        <w:pStyle w:val="Corps"/>
      </w:pPr>
      <w:r>
        <w:t xml:space="preserve">La taxe sur la valeur ajoutée est appliquée au taux de [Taux de TVA] % uniquement si [Fondement du régime de TVA] établit le régime retenu et sa date d'effet. Le Bailleur remet une facture conforme et applique la taxe aux seules sommes taxables. Aucun régime fiscal n'est présumé à partir de la qualité des parties ou de la destination. Toute modification ou erreur fait l'objet d'une information et d'une régularisation documentées sans changer le loyer hors taxes.</w:t>
      </w:r>
    </w:p>
    <w:p>
      <w:pPr>
        <w:pStyle w:val="Intertitre"/>
      </w:pPr>
      <w:r>
        <w:t xml:space="preserve">Indexation — choisir une seule variante</w:t>
      </w:r>
    </w:p>
    <w:p>
      <w:pPr>
        <w:pStyle w:val="Variante"/>
      </w:pPr>
      <w:r>
        <w:t xml:space="preserve">Variante : Absence d'indexation</w:t>
      </w:r>
    </w:p>
    <w:p>
      <w:pPr>
        <w:pStyle w:val="Corps"/>
      </w:pPr>
      <w:r>
        <w:t xml:space="preserve">Aucune indexation automatique du loyer n'est stipulée. Le montant ne varie donc pas sur le fondement d'un indice pendant la durée du bail. Une modification ultérieure exige un accord écrit des parties ou l'application d'un mécanisme légal pertinent. L'absence d'indexation interdit d'appliquer un indice, un trimestre de base ou une périodicité qui ne figurent pas dans le contrat.</w:t>
      </w:r>
    </w:p>
    <w:p>
      <w:pPr>
        <w:pStyle w:val="Variante"/>
      </w:pPr>
      <w:r>
        <w:t xml:space="preserve">Variante : Indexation sur l'indice des loyers des activités tertiaires</w:t>
      </w:r>
    </w:p>
    <w:p>
      <w:pPr>
        <w:pStyle w:val="Corps"/>
      </w:pPr>
      <w:r>
        <w:t xml:space="preserve">Le loyer évolue selon [Indice d'indexation], à partir de l'indice de base [Indice de base] et selon la périodicité [Périodicité d'indexation]. La référence officielle est [Source officielle de l’indice]. Le calcul compare des indices publiés correspondant à des périodes cohérentes et s'applique à la hausse comme à la baisse selon la clause. L'adéquation de l'indice à l'activité professionnelle, les dates, les valeurs et tout raccordement de série sont contrôlés avant facturation.</w:t>
      </w:r>
    </w:p>
    <w:p>
      <w:pPr>
        <w:pStyle w:val="Intertitre"/>
      </w:pPr>
      <w:r>
        <w:t xml:space="preserve">Charges — choisir une seule variante</w:t>
      </w:r>
    </w:p>
    <w:p>
      <w:pPr>
        <w:pStyle w:val="Variante"/>
      </w:pPr>
      <w:r>
        <w:t xml:space="preserve">Variante : Charges sur dépenses réelles</w:t>
      </w:r>
    </w:p>
    <w:p>
      <w:pPr>
        <w:pStyle w:val="Corps"/>
      </w:pPr>
      <w:r>
        <w:t xml:space="preserve">Le Locataire rembourse, sur justificatifs, les seuls postes précisément énumérés dans [Inventaire des charges]. Une provision de [Montant des charges] est appelée selon la périodicité convenue et fait l'objet de la régularisation suivante : [Régularisation]. Le Bailleur communique le décompte, la période, les factures et la clé de répartition. Un poste omis, étranger aux locaux ou supporté par un autre occupant n'est pas récupérable par assimilation.</w:t>
      </w:r>
    </w:p>
    <w:p>
      <w:pPr>
        <w:pStyle w:val="Variante"/>
      </w:pPr>
      <w:r>
        <w:t xml:space="preserve">Variante : Forfait de charges</w:t>
      </w:r>
    </w:p>
    <w:p>
      <w:pPr>
        <w:pStyle w:val="Corps"/>
      </w:pPr>
      <w:r>
        <w:t xml:space="preserve">Le Locataire verse un forfait de [Montant des charges] couvrant exclusivement les postes suivants : [Inventaire des charges]. Le forfait n'est pas assimilé à une provision et ne donne lieu à régularisation que si le bail le prévoit expressément. Toute évolution respecte la périodicité, le mécanisme et les limites convenus. Les dépenses exclues du forfait restent supportées par la partie que désigne le bail ou, à défaut, par les règles applicables.</w:t>
      </w:r>
    </w:p>
    <w:p>
      <w:pPr>
        <w:pStyle w:val="Variante"/>
      </w:pPr>
      <w:r>
        <w:t xml:space="preserve">Variante : Charges incluses</w:t>
      </w:r>
    </w:p>
    <w:p>
      <w:pPr>
        <w:pStyle w:val="Corps"/>
      </w:pPr>
      <w:r>
        <w:t xml:space="preserve">Le loyer inclut les services et charges suivants : [Inventaire des charges]. Aucun appel séparé ne peut être effectué pour ces mêmes postes. Les consommations individualisées, taxes ou dépenses non incluses demeurent supportées par la partie désignée au bail ou par la loi. Toute modification de ce périmètre exige un avenant écrit afin d'éviter une double facturation ou un transfert implicite.</w:t>
      </w:r>
    </w:p>
    <w:p>
      <w:pPr>
        <w:pStyle w:val="Intertitre"/>
      </w:pPr>
      <w:r>
        <w:t xml:space="preserve">Impôts, taxes et redevances</w:t>
      </w:r>
    </w:p>
    <w:p>
      <w:pPr>
        <w:pStyle w:val="Corps"/>
      </w:pPr>
      <w:r>
        <w:t xml:space="preserve">La répartition des impôts, taxes et redevances est la suivante : [Impôts et taxes]. Elle précise chaque poste et son bénéficiaire économique. Cette stipulation ne modifie pas l'identité du redevable légal à l'égard de l'administration et ne permet pas d'imputer une somme étrangère aux locaux ou à l'usage du Locataire. Chaque remboursement est appuyé du rôle, avis ou justificatif correspondant.</w:t>
      </w:r>
    </w:p>
    <w:p>
      <w:pPr>
        <w:pStyle w:val="Intertitre"/>
      </w:pPr>
      <w:r>
        <w:t xml:space="preserve">Garantie — choisir une seule variante</w:t>
      </w:r>
    </w:p>
    <w:p>
      <w:pPr>
        <w:pStyle w:val="Variante"/>
      </w:pPr>
      <w:r>
        <w:t xml:space="preserve">Variante : Absence de garantie financière</w:t>
      </w:r>
    </w:p>
    <w:p>
      <w:pPr>
        <w:pStyle w:val="Corps"/>
      </w:pPr>
      <w:r>
        <w:t xml:space="preserve">Aucun dépôt de garantie ni engagement bancaire n'est exigé à la conclusion du bail. Cette absence n'emporte ni renonciation au paiement du loyer et des charges ni abandon des recours fondés sur un manquement contractuel prouvé. Le Bailleur ne peut demander ultérieurement une garantie sans accord écrit du Locataire précisant sa nature, son montant, sa durée et ses conditions de restitution.</w:t>
      </w:r>
    </w:p>
    <w:p>
      <w:pPr>
        <w:pStyle w:val="Variante"/>
      </w:pPr>
      <w:r>
        <w:t xml:space="preserve">Variante : Dépôt de garantie</w:t>
      </w:r>
    </w:p>
    <w:p>
      <w:pPr>
        <w:pStyle w:val="Corps"/>
      </w:pPr>
      <w:r>
        <w:t xml:space="preserve">Le Locataire verse un dépôt de garantie de [Dépôt de garantie]. Il garantit les sommes restant dues et les dégradations imputables établies lors de la restitution ; il ne peut être imputé unilatéralement sur les derniers loyers. Après remise des clés et apurement des comptes, il est restitué selon [Restitution du dépôt], déduction faite des créances justifiées. Toute retenue est détaillée et accompagnée de ses pièces.</w:t>
      </w:r>
    </w:p>
    <w:p>
      <w:pPr>
        <w:pStyle w:val="Variante"/>
      </w:pPr>
      <w:r>
        <w:t xml:space="preserve">Variante : Garantie bancaire</w:t>
      </w:r>
    </w:p>
    <w:p>
      <w:pPr>
        <w:pStyle w:val="Corps"/>
      </w:pPr>
      <w:r>
        <w:t xml:space="preserve">Le Locataire remet une garantie bancaire conforme à [Garantie bancaire]. Le texte identifie le bénéficiaire, le montant maximal, les obligations garanties, la durée, les conditions d'appel et de libération. Il est accepté avant la remise des clés et conservé avec le bail. Aucun appel ne peut porter sur une obligation étrangère au contrat ; la mainlevée intervient lorsque les obligations garanties sont éteintes.</w:t>
      </w:r>
    </w:p>
    <w:p>
      <w:pPr>
        <w:pStyle w:val="Intertitre"/>
      </w:pPr>
      <w:r>
        <w:t xml:space="preserve">Entretien et réparations courantes</w:t>
      </w:r>
    </w:p>
    <w:p>
      <w:pPr>
        <w:pStyle w:val="Corps"/>
      </w:pPr>
      <w:r>
        <w:t xml:space="preserve">Le Locataire assure l'entretien courant et les réparations suivantes : [Entretien du locataire]. Il utilise les équipements conformément à leur destination et avertit rapidement le Bailleur de tout désordre structurel, vice, infiltration ou panne relevant de celui-ci. Il ne réalise aucune intervention sur la structure ou les réseaux communs sans autorisation, sauf mesure conservatoire urgente. Le Bailleur exécute les réparations nécessaires autres que locatives qui lui incombent.</w:t>
      </w:r>
    </w:p>
    <w:p>
      <w:pPr>
        <w:pStyle w:val="Intertitre"/>
      </w:pPr>
      <w:r>
        <w:t xml:space="preserve">Travaux du Bailleur</w:t>
      </w:r>
    </w:p>
    <w:p>
      <w:pPr>
        <w:pStyle w:val="Corps"/>
      </w:pPr>
      <w:r>
        <w:t xml:space="preserve">Le Bailleur conserve à sa charge les travaux suivants : [Travaux du bailleur]. Il informe le Locataire de leur nature, calendrier, accès nécessaires et perturbations prévisibles, puis limite celles-ci autant que possible. Les travaux urgents peuvent être engagés sans délai, avec information immédiate. Leur exécution ne transfère pas au Locataire les obligations de délivrance, d'entretien structurel ou de jouissance paisible qui demeurent à la charge du Bailleur.</w:t>
      </w:r>
    </w:p>
    <w:p>
      <w:pPr>
        <w:pStyle w:val="Intertitre"/>
      </w:pPr>
      <w:r>
        <w:t xml:space="preserve">Clause optionnelle : Travaux du Locataire</w:t>
      </w:r>
    </w:p>
    <w:p>
      <w:pPr>
        <w:pStyle w:val="Corps"/>
      </w:pPr>
      <w:r>
        <w:t xml:space="preserve">Le Locataire est autorisé à réaliser les travaux suivants : [Travaux du locataire]. Avant leur commencement, il remet les plans, assurances, autorisations administratives et, si nécessaire, accord de la copropriété ou du propriétaire. Il respecte les règles de sécurité et ne touche pas à la structure sans autorisation expresse. Le sort des aménagements en fin de bail, leur remise en état ou leur conservation sans indemnité est précisé par écrit.</w:t>
      </w:r>
    </w:p>
    <w:p>
      <w:pPr>
        <w:pStyle w:val="Intertitre"/>
      </w:pPr>
      <w:r>
        <w:t xml:space="preserve">Assurances</w:t>
      </w:r>
    </w:p>
    <w:p>
      <w:pPr>
        <w:pStyle w:val="Corps"/>
      </w:pPr>
      <w:r>
        <w:t xml:space="preserve">Le Locataire maintient les garanties suivantes : [Assurances du locataire] et remet une attestation datée du [Date de l'attestation d'assurance]. Il déclare exactement son activité, les locaux, l'accueil éventuel du public et ses équipements, puis informe le Bailleur d'une suspension ou résiliation. Chaque partie déclare les sinistres sans délai et coopère à leur instruction. Le Bailleur conserve les assurances qui lui incombent au titre de l'immeuble et de sa responsabilité.</w:t>
      </w:r>
    </w:p>
    <w:p>
      <w:pPr>
        <w:pStyle w:val="Intertitre"/>
      </w:pPr>
      <w:r>
        <w:t xml:space="preserve">Jouissance et nuisances</w:t>
      </w:r>
    </w:p>
    <w:p>
      <w:pPr>
        <w:pStyle w:val="Corps"/>
      </w:pPr>
      <w:r>
        <w:t xml:space="preserve">Le Locataire use paisiblement des locaux, respecte le règlement de l'immeuble, les prescriptions de sécurité, les horaires et les droits des tiers. Il prévient les nuisances sonores, olfactives, vibratoires, visuelles ou liées à l'accueil de sa clientèle. Il répond des troubles causés par ses salariés, patients, clients, prestataires et visiteurs. Le Bailleur demeure tenu d'assurer la jouissance promise lorsque le trouble relève de son fait ou de ses pouvoirs.</w:t>
      </w:r>
    </w:p>
    <w:p>
      <w:pPr>
        <w:pStyle w:val="Intertitre"/>
      </w:pPr>
      <w:r>
        <w:t xml:space="preserve">Cession — choisir une seule variante</w:t>
      </w:r>
    </w:p>
    <w:p>
      <w:pPr>
        <w:pStyle w:val="Variante"/>
      </w:pPr>
      <w:r>
        <w:t xml:space="preserve">Variante : Interdiction de cession</w:t>
      </w:r>
    </w:p>
    <w:p>
      <w:pPr>
        <w:pStyle w:val="Corps"/>
      </w:pPr>
      <w:r>
        <w:t xml:space="preserve">Le bail est conclu en considération de la personne et de l'activité du Locataire ; il ne peut être cédé sans accord écrit préalable du Bailleur. Toute transmission réalisée en violation de cette interdiction constitue un manquement contractuel. Une réorganisation, un changement de structure d'exercice ou un apport ne peut être assimilé à une cession autorisée sans analyse de l'identité du titulaire et des règles propres à la profession concernée.</w:t>
      </w:r>
    </w:p>
    <w:p>
      <w:pPr>
        <w:pStyle w:val="Variante"/>
      </w:pPr>
      <w:r>
        <w:t xml:space="preserve">Variante : Cession autorisée sous conditions</w:t>
      </w:r>
    </w:p>
    <w:p>
      <w:pPr>
        <w:pStyle w:val="Corps"/>
      </w:pPr>
      <w:r>
        <w:t xml:space="preserve">Une cession peut être autorisée selon [Conditions de cession]. Le projet identifie le cessionnaire, sa qualité professionnelle, son activité, ses inscriptions, ses garanties et la date de transfert. Il n'est opposable au Bailleur qu'après satisfaction des conditions et signature de l'acte requis. Le cédant demeure tenu des obligations antérieures ; toute garantie postérieure doit être expressément définie et compatible avec le régime professionnel.</w:t>
      </w:r>
    </w:p>
    <w:p>
      <w:pPr>
        <w:pStyle w:val="Intertitre"/>
      </w:pPr>
      <w:r>
        <w:t xml:space="preserve">Sous-location — choisir une seule variante</w:t>
      </w:r>
    </w:p>
    <w:p>
      <w:pPr>
        <w:pStyle w:val="Variante"/>
      </w:pPr>
      <w:r>
        <w:t xml:space="preserve">Variante : Interdiction de sous-location</w:t>
      </w:r>
    </w:p>
    <w:p>
      <w:pPr>
        <w:pStyle w:val="Corps"/>
      </w:pPr>
      <w:r>
        <w:t xml:space="preserve">Toute sous-location, mise à disposition durable, domiciliation d'un tiers ou occupation par un autre professionnel est interdite sans accord écrit préalable du Bailleur. Une collaboration ponctuelle ou un remplacement ne vaut pas autorisation de sous-louer s'il ne transfère aucune jouissance autonome. Une tolérance, même répétée, ne modifie pas le bail et peut être retirée pour l'avenir après notification.</w:t>
      </w:r>
    </w:p>
    <w:p>
      <w:pPr>
        <w:pStyle w:val="Variante"/>
      </w:pPr>
      <w:r>
        <w:t xml:space="preserve">Variante : Sous-location autorisée sous conditions</w:t>
      </w:r>
    </w:p>
    <w:p>
      <w:pPr>
        <w:pStyle w:val="Corps"/>
      </w:pPr>
      <w:r>
        <w:t xml:space="preserve">Une sous-location ou mise à disposition est autorisée uniquement selon [Conditions de sous-location]. L'acte identifie les espaces, l'activité, la durée, le prix, les accès et les obligations d'assurance et de confidentialité. Le sous-occupant respecte la destination exclusivement professionnelle et les règles de l'immeuble. Le Locataire principal demeure seul tenu envers le Bailleur et ne peut accorder plus de droits qu'il n'en détient.</w:t>
      </w:r>
    </w:p>
    <w:p>
      <w:pPr>
        <w:pStyle w:val="Intertitre"/>
      </w:pPr>
      <w:r>
        <w:t xml:space="preserve">Clause optionnelle : Résiliation pour manquement</w:t>
      </w:r>
    </w:p>
    <w:p>
      <w:pPr>
        <w:pStyle w:val="Corps"/>
      </w:pPr>
      <w:r>
        <w:t xml:space="preserve">Une résiliation anticipée pour manquement peut être poursuivie dans les cas suivants : [Résiliation anticipée]. La partie qui l'invoque respecte [Notification de résiliation], identifie précisément l'obligation méconnue et laisse, lorsqu'il est prévu ou requis, le délai de régularisation applicable. La résiliation ne prive pas la partie lésée de réclamer les sommes ou réparations justifiées et ne peut sanctionner un fait non imputable ou insuffisamment établi.</w:t>
      </w:r>
    </w:p>
    <w:p>
      <w:pPr>
        <w:pStyle w:val="Intertitre"/>
      </w:pPr>
      <w:r>
        <w:t xml:space="preserve">Notifications contractuelles</w:t>
      </w:r>
    </w:p>
    <w:p>
      <w:pPr>
        <w:pStyle w:val="Corps"/>
      </w:pPr>
      <w:r>
        <w:t xml:space="preserve">Pour les notifications contractuelles, les parties élisent domicile aux adresses suivantes : [Adresses de notification]. Tout changement est signalé sans délai. Chaque envoi permet d'établir son auteur, son destinataire, son contenu, sa date et sa réception. La présente clause ne réduit ni ne remplace la lettre recommandée avec demande d'avis de réception ou l'acte de commissaire de justice lorsque l'article 57 A impose l'une de ces formes.</w:t>
      </w:r>
    </w:p>
    <w:p>
      <w:pPr>
        <w:pStyle w:val="Intertitre"/>
      </w:pPr>
      <w:r>
        <w:t xml:space="preserve">Restitution des locaux</w:t>
      </w:r>
    </w:p>
    <w:p>
      <w:pPr>
        <w:pStyle w:val="Corps"/>
      </w:pPr>
      <w:r>
        <w:t xml:space="preserve">À la fin du bail, le Locataire libère les locaux de ses personnes et biens, les restitue dans l'état suivant : [État attendu à la restitution], sous réserve de la vétusté, de la force majeure et des obligations du Bailleur, puis remet les accès décrits comme suit : [Clés et moyens d'accès]. Il enlève ses enseignes et aménagements lorsque cela est prévu, apure les consommations et communique une adresse pour le décompte final.</w:t>
      </w:r>
    </w:p>
    <w:p>
      <w:pPr>
        <w:pStyle w:val="Intertitre"/>
      </w:pPr>
      <w:r>
        <w:t xml:space="preserve">État des lieux de sortie</w:t>
      </w:r>
    </w:p>
    <w:p>
      <w:pPr>
        <w:pStyle w:val="Corps"/>
      </w:pPr>
      <w:r>
        <w:t xml:space="preserve">Un état des lieux contradictoire de sortie est établi le [Date de l'état des lieux de sortie] lors de la remise des clés. Il est comparé au constat d'entrée et documente chaque différence par des observations ou photographies. Les parties distinguent les dégradations imputables, la vétusté, la force majeure et les désordres relevant du Bailleur. Une retenue sur garantie ne peut reposer que sur une créance justifiée et reliée à ce constat.</w:t>
      </w:r>
    </w:p>
    <w:p>
      <w:pPr>
        <w:pStyle w:val="Intertitre"/>
      </w:pPr>
      <w:r>
        <w:t xml:space="preserve">Annexes</w:t>
      </w:r>
    </w:p>
    <w:p>
      <w:pPr>
        <w:pStyle w:val="Corps"/>
      </w:pPr>
      <w:r>
        <w:t xml:space="preserve">Les annexes contractuelles sont les suivantes : [Annexes]. Chacune est nommée, datée, paginée ou référencée et rattachée sans ambiguïté à la version signée du bail. Figurent notamment, selon le dossier, les pouvoirs, plans, état des lieux, règlements, diagnostics, état des risques, assurances, autorisations et inventaires financiers. Une pièce nécessaire à un contrôle bloquant doit être obtenue avant l'émission du bail.</w:t>
      </w:r>
    </w:p>
    <w:p>
      <w:pPr>
        <w:pStyle w:val="Intertitre"/>
      </w:pPr>
      <w:r>
        <w:t xml:space="preserve">Risques et diagnostics</w:t>
      </w:r>
    </w:p>
    <w:p>
      <w:pPr>
        <w:pStyle w:val="Corps"/>
      </w:pPr>
      <w:r>
        <w:t xml:space="preserve">Le Bailleur identifie les états, diagnostics et informations immobilières applicables à la situation, à la date, à la destination et aux caractéristiques des locaux. Il remet les documents requis, notamment l'état des risques lorsqu'il est applicable, dans une version lisible et encore valable. Toute actualisation nécessaire avant la signature ou la prise d'effet est communiquée. La réception d'une annexe ne couvre ni son absence ni une information matériellement inexacte.</w:t>
      </w:r>
    </w:p>
    <w:p>
      <w:pPr>
        <w:pStyle w:val="Intertitre"/>
      </w:pPr>
      <w:r>
        <w:t xml:space="preserve">Clause optionnelle : Signature électronique</w:t>
      </w:r>
    </w:p>
    <w:p>
      <w:pPr>
        <w:pStyle w:val="Corps"/>
      </w:pPr>
      <w:r>
        <w:t xml:space="preserve">Lorsque le bail est signé électroniquement, l'identité de chaque signataire, son consentement et l'intégrité de l'acte sont garantis par un procédé fiable. Les signatures, horodatages et preuves sont rattachés à l'enveloppe ou au certificat [Signature électronique], conservé avec le bail et ses annexes. La copie remise à chaque partie permet de vérifier le document exact signé et ne comporte aucune annexe ajoutée après la clôture.</w:t>
      </w:r>
    </w:p>
    <w:p>
      <w:pPr>
        <w:pStyle w:val="Intertitre"/>
      </w:pPr>
      <w:r>
        <w:t xml:space="preserve">Signatures</w:t>
      </w:r>
    </w:p>
    <w:p>
      <w:pPr>
        <w:pStyle w:val="Corps"/>
      </w:pPr>
      <w:r>
        <w:t xml:space="preserve">Après lecture du bail et de ses annexes, le Bailleur signe sous le nom [Signature du bailleur] et le Locataire sous le nom [Signature du locataire]. Chaque signature comporte l'identité, la qualité, la date et, le cas échéant, la référence du pouvoir. Les réserves éventuelles sont inscrites avant signature et contresignées. Chaque partie reçoit un exemplaire complet sur support durable ; aucune mention postérieure unilatérale ne modifie l'accord.</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