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CONDITIONS GÉNÉRALES D'UTILISATION ET MENTIONS LÉGALES</w:t>
      </w:r>
    </w:p>
    <w:p>
      <w:pPr>
        <w:pStyle w:val="Intertitre"/>
      </w:pPr>
      <w:r>
        <w:t xml:space="preserve">Identité de l'éditeur — choisir une seule variante</w:t>
      </w:r>
    </w:p>
    <w:p>
      <w:pPr>
        <w:pStyle w:val="Variante"/>
      </w:pPr>
      <w:r>
        <w:t xml:space="preserve">Variante : Éditeur personne morale</w:t>
      </w:r>
    </w:p>
    <w:p>
      <w:pPr>
        <w:pStyle w:val="Corps"/>
      </w:pPr>
      <w:r>
        <w:t xml:space="preserve">Le service [Nom du service], accessible à [Adresse du service], est édité par [Dénomination de l'éditeur], [Forme juridique de l'éditeur], au capital de [Capital social de l'éditeur], dont le siège social est situé [Siège social de l'éditeur], immatriculée sous [Immatriculation de l'éditeur] et identifiée à la TVA sous [Numéro de TVA de l'éditeur] lorsqu'elle y est assujettie. L'éditeur peut être contacté à [Adresse électronique de l'éditeur] et au [Téléphone de l'éditeur]. Ces informations sont publiées dans un format directement accessible et sont mises à jour lorsqu'un changement devient opposable.</w:t>
      </w:r>
    </w:p>
    <w:p>
      <w:pPr>
        <w:pStyle w:val="Variante"/>
      </w:pPr>
      <w:r>
        <w:t xml:space="preserve">Variante : Éditeur personne physique</w:t>
      </w:r>
    </w:p>
    <w:p>
      <w:pPr>
        <w:pStyle w:val="Corps"/>
      </w:pPr>
      <w:r>
        <w:t xml:space="preserve">Le service [Nom du service], accessible à [Adresse du service], est édité par [Nom de l'éditeur personne physique], domicilié ou établi [Adresse de l'éditeur personne physique], immatriculé sous [Immatriculation de l'éditeur personne physique] lorsqu'une inscription est requise. L'éditeur peut être contacté à [Adresse électronique de l'éditeur personne physique] et au [Téléphone de l'éditeur personne physique]. Lorsque l'édition est exercée à titre non professionnel et que l'anonymat légal est retenu, seules les mentions légalement compatibles avec ce choix sont publiées et l'hébergeur détient les éléments d'identification requis.</w:t>
      </w:r>
    </w:p>
    <w:p>
      <w:pPr>
        <w:pStyle w:val="Intertitre"/>
      </w:pPr>
      <w:r>
        <w:t xml:space="preserve">Direction de la publication</w:t>
      </w:r>
    </w:p>
    <w:p>
      <w:pPr>
        <w:pStyle w:val="Corps"/>
      </w:pPr>
      <w:r>
        <w:t xml:space="preserve">Le directeur ou codirecteur de la publication est [Directeur de la publication]. Il assume la responsabilité attachée à cette fonction pour les contenus éditoriaux du service, sans que cette désignation efface les régimes applicables aux contenus fournis par les utilisateurs ou par des tiers. Les informations publiées ont été rapprochées des sources de production décrites dans [Contrôle des mentions légales]. Toute modification de la direction de publication est répercutée sans délai injustifié dans les mentions légales.</w:t>
      </w:r>
    </w:p>
    <w:p>
      <w:pPr>
        <w:pStyle w:val="Intertitre"/>
      </w:pPr>
      <w:r>
        <w:t xml:space="preserve">Hébergement</w:t>
      </w:r>
    </w:p>
    <w:p>
      <w:pPr>
        <w:pStyle w:val="Corps"/>
      </w:pPr>
      <w:r>
        <w:t xml:space="preserve">Le service de production est hébergé par [Dénomination de l'hébergeur], établi [Adresse de l'hébergeur] et joignable au [Téléphone de l'hébergeur]. Ces coordonnées correspondent au prestataire qui assure effectivement l'hébergement de la version publiée. Lorsqu'une chaîne de prestataires ou un stockage distinct intervient, les mentions exigées sont adaptées aux fonctions réellement exercées. L'éditeur recontrôle ces informations après toute migration d'infrastructure ou changement contractuel significatif.</w:t>
      </w:r>
    </w:p>
    <w:p>
      <w:pPr>
        <w:pStyle w:val="Intertitre"/>
      </w:pPr>
      <w:r>
        <w:t xml:space="preserve">Objet et version des CGU</w:t>
      </w:r>
    </w:p>
    <w:p>
      <w:pPr>
        <w:pStyle w:val="Corps"/>
      </w:pPr>
      <w:r>
        <w:t xml:space="preserve">Les présentes conditions générales d'utilisation encadrent l'accès à [Nom du service] et l'usage de ses fonctionnalités, dont l'objet est [Objet du service]. Elles s'appliquent à [Public visé] à compter du [Date d'entrée en vigueur], dans leur version [Version des CGU]. Elles n'ont pas pour effet de remplacer une politique de confidentialité, une politique cookies, des conditions générales de vente ou un contrat particulier lorsque l'une de ces documentations est nécessaire. En cas de contradiction, les conditions particulières régulièrement acceptées prévalent pour leur objet.</w:t>
      </w:r>
    </w:p>
    <w:p>
      <w:pPr>
        <w:pStyle w:val="Intertitre"/>
      </w:pPr>
      <w:r>
        <w:t xml:space="preserve">Acceptation des CGU</w:t>
      </w:r>
    </w:p>
    <w:p>
      <w:pPr>
        <w:pStyle w:val="Corps"/>
      </w:pPr>
      <w:r>
        <w:t xml:space="preserve">Lorsque l'utilisation d'une fonctionnalité exige l'acceptation des CGU, celle-ci est recueillie selon [Preuve d'acceptation] avant l'accès concerné. L'utilisateur peut consulter la version applicable, la conserver et identifier la portée de son accord. La simple consultation d'une page publique n'emporte pas acceptation de stipulations sans lien avec cette consultation. L'opposabilité de la version, de la date et du parcours est établie par [Contrôle de l'acceptation]; aucune case précochée ou consentement ambigu n'est traité comme une preuve suffisante.</w:t>
      </w:r>
    </w:p>
    <w:p>
      <w:pPr>
        <w:pStyle w:val="Intertitre"/>
      </w:pPr>
      <w:r>
        <w:t xml:space="preserve">Type de service — choisir une seule variante</w:t>
      </w:r>
    </w:p>
    <w:p>
      <w:pPr>
        <w:pStyle w:val="Variante"/>
      </w:pPr>
      <w:r>
        <w:t xml:space="preserve">Variante : Site d'information</w:t>
      </w:r>
    </w:p>
    <w:p>
      <w:pPr>
        <w:pStyle w:val="Corps"/>
      </w:pPr>
      <w:r>
        <w:t xml:space="preserve">Le service met à disposition [Fonctionnalités disponibles] à titre principalement informatif. Les informations générales, actualités, outils de présentation ou formulaires de contact ne constituent pas une offre personnalisée ni un engagement contractuel définitif lorsqu'ils sont présentés comme tels. L'utilisateur vérifie les conditions particulières, devis ou documents applicables avant de prendre une décision. L'éditeur corrige les erreurs portées à sa connaissance et date les informations dont l'actualité est déterminante.</w:t>
      </w:r>
    </w:p>
    <w:p>
      <w:pPr>
        <w:pStyle w:val="Variante"/>
      </w:pPr>
      <w:r>
        <w:t xml:space="preserve">Variante : Service interactif</w:t>
      </w:r>
    </w:p>
    <w:p>
      <w:pPr>
        <w:pStyle w:val="Corps"/>
      </w:pPr>
      <w:r>
        <w:t xml:space="preserve">Le service permet l'utilisation de [Fonctionnalités disponibles]. L'utilisateur suit les étapes affichées, fournit des informations exactes et vérifie le résultat avant toute validation définitive. L'éditeur décrit les prérequis, limites, formats et conséquences de chaque action significative. Une simulation, recommandation automatisée ou prévisualisation n'est présentée comme définitive que si le parcours le précise expressément et permet à l'utilisateur de corriger ses données.</w:t>
      </w:r>
    </w:p>
    <w:p>
      <w:pPr>
        <w:pStyle w:val="Variante"/>
      </w:pPr>
      <w:r>
        <w:t xml:space="preserve">Variante : Application en ligne</w:t>
      </w:r>
    </w:p>
    <w:p>
      <w:pPr>
        <w:pStyle w:val="Corps"/>
      </w:pPr>
      <w:r>
        <w:t xml:space="preserve">Le service fournit [Fonctionnalités disponibles] sous forme d'application en ligne. Les droits d'accès, rôles, limites fonctionnelles, volumes, environnements et éventuels engagements de service sont définis par les présentes CGU et par les documents particuliers applicables. L'utilisateur respecte les prérequis techniques et n'utilise que les fonctions autorisées. Les conditions commerciales, niveaux de service, réversibilité et traitement des données qui nécessitent un accord spécifique ne sont pas réputés résulter d'une formule générale des CGU.</w:t>
      </w:r>
    </w:p>
    <w:p>
      <w:pPr>
        <w:pStyle w:val="Variante"/>
      </w:pPr>
      <w:r>
        <w:t xml:space="preserve">Variante : Espace communautaire</w:t>
      </w:r>
    </w:p>
    <w:p>
      <w:pPr>
        <w:pStyle w:val="Corps"/>
      </w:pPr>
      <w:r>
        <w:t xml:space="preserve">Le service permet aux utilisateurs d'échanger et de publier dans le cadre de [Fonctionnalités disponibles]. Chaque espace indique son objet, son audience et les règles de participation pertinentes. Les utilisateurs demeurent responsables de leurs publications, tandis que l'éditeur applique les mécanismes de signalement, de modération et de recours décrits ci-après. L'accès à une communauté ne confère aucun droit sur les contenus d'autrui et peut être limité pour protéger le service ou ses membres selon une procédure proportionnée.</w:t>
      </w:r>
    </w:p>
    <w:p>
      <w:pPr>
        <w:pStyle w:val="Variante"/>
      </w:pPr>
      <w:r>
        <w:t xml:space="preserve">Variante : Plateforme de mise en relation</w:t>
      </w:r>
    </w:p>
    <w:p>
      <w:pPr>
        <w:pStyle w:val="Corps"/>
      </w:pPr>
      <w:r>
        <w:t xml:space="preserve">Le service organise [Fonctionnalités disponibles] et facilite les interactions décrites dans le parcours concerné. Le rôle exact de l'éditeur, des utilisateurs et des tiers est exposé avant toute opération : mise en relation, hébergement d'informations, fourniture d'un outil ou intervention contractuelle propre. L'éditeur ne se présente pas comme vendeur, mandataire ou partie à une opération lorsqu'il n'assume pas ce rôle. Les conditions applicables aux transactions entre utilisateurs ou avec un tiers sont identifiées séparément.</w:t>
      </w:r>
    </w:p>
    <w:p>
      <w:pPr>
        <w:pStyle w:val="Intertitre"/>
      </w:pPr>
      <w:r>
        <w:t xml:space="preserve">Audience — choisir une seule variante</w:t>
      </w:r>
    </w:p>
    <w:p>
      <w:pPr>
        <w:pStyle w:val="Variante"/>
      </w:pPr>
      <w:r>
        <w:t xml:space="preserve">Variante : Utilisateurs consommateurs</w:t>
      </w:r>
    </w:p>
    <w:p>
      <w:pPr>
        <w:pStyle w:val="Corps"/>
      </w:pPr>
      <w:r>
        <w:t xml:space="preserve">Les fonctions destinées aux consommateurs sont [Fonctions destinées aux consommateurs]. L'utilisateur bénéficie des informations, droits et recours impératifs attachés à cette qualité. Une stipulation des CGU ne peut réduire ces protections ni transférer au consommateur un risque que la loi met à la charge du professionnel. Lorsqu'une fonction payante est proposée, les informations précontractuelles et conditions de vente correspondantes sont communiquées avant la souscription.</w:t>
      </w:r>
    </w:p>
    <w:p>
      <w:pPr>
        <w:pStyle w:val="Variante"/>
      </w:pPr>
      <w:r>
        <w:t xml:space="preserve">Variante : Utilisateurs professionnels</w:t>
      </w:r>
    </w:p>
    <w:p>
      <w:pPr>
        <w:pStyle w:val="Corps"/>
      </w:pPr>
      <w:r>
        <w:t xml:space="preserve">Les fonctions destinées aux utilisateurs professionnels sont [Fonctions destinées aux professionnels]. L'utilisateur confirme agir pour les besoins de son activité lorsque le parcours ou le document particulier l'exige et veille à l'habilitation de la personne qui utilise le compte. Les éventuelles conditions commerciales B2B, limites de responsabilité négociées ou engagements de niveau de service sont définis dans un document distinct lorsqu'ils dépassent le simple usage du service.</w:t>
      </w:r>
    </w:p>
    <w:p>
      <w:pPr>
        <w:pStyle w:val="Variante"/>
      </w:pPr>
      <w:r>
        <w:t xml:space="preserve">Variante : Audience mixte</w:t>
      </w:r>
    </w:p>
    <w:p>
      <w:pPr>
        <w:pStyle w:val="Corps"/>
      </w:pPr>
      <w:r>
        <w:t xml:space="preserve">Le service distingue [Fonctions destinées aux consommateurs] destinées aux consommateurs et [Fonctions destinées aux professionnels] destinées aux professionnels. La qualification dépend de la finalité réelle de chaque utilisation, et non du seul nom du compte ou d'une déclaration automatique. Le parcours affiche les informations et documents adaptés avant l'opération concernée. En cas d'usage mixte ou d'incertitude, les protections impératives applicables ne sont pas écartées par les CGU.</w:t>
      </w:r>
    </w:p>
    <w:p>
      <w:pPr>
        <w:pStyle w:val="Intertitre"/>
      </w:pPr>
      <w:r>
        <w:t xml:space="preserve">Clause optionnelle : Création du compte</w:t>
      </w:r>
    </w:p>
    <w:p>
      <w:pPr>
        <w:pStyle w:val="Corps"/>
      </w:pPr>
      <w:r>
        <w:t xml:space="preserve">Le compte est créé selon [Règles du compte utilisateur]. L'utilisateur fournit des informations exactes, complètes et à jour, choisit un identifiant conforme aux règles du service et ne crée pas de compte pour autrui sans habilitation. L'éditeur indique les données obligatoires, les étapes de vérification et les fonctionnalités accessibles. Un refus d'ouverture est motivé lorsqu'une obligation ou le parcours le requiert, sans imposer la collecte d'informations étrangères à la finalité du compte.</w:t>
      </w:r>
    </w:p>
    <w:p>
      <w:pPr>
        <w:pStyle w:val="Intertitre"/>
      </w:pPr>
      <w:r>
        <w:t xml:space="preserve">Clause optionnelle : Sécurité des identifiants</w:t>
      </w:r>
    </w:p>
    <w:p>
      <w:pPr>
        <w:pStyle w:val="Corps"/>
      </w:pPr>
      <w:r>
        <w:t xml:space="preserve">L'utilisateur respecte [Sécurité des identifiants], conserve ses moyens d'authentification confidentiels et signale immédiatement toute compromission ou utilisation non autorisée. L'éditeur met en œuvre les mesures de sécurité annoncées, propose des mécanismes de récupération proportionnés et peut neutraliser temporairement un accès exposé. Les actions réalisées après un signalement sont examinées selon les traces disponibles; les obligations de sécurité propres à l'éditeur ne sont pas transférées intégralement à l'utilisateur.</w:t>
      </w:r>
    </w:p>
    <w:p>
      <w:pPr>
        <w:pStyle w:val="Intertitre"/>
      </w:pPr>
      <w:r>
        <w:t xml:space="preserve">Clause optionnelle : Suspension et fermeture</w:t>
      </w:r>
    </w:p>
    <w:p>
      <w:pPr>
        <w:pStyle w:val="Corps"/>
      </w:pPr>
      <w:r>
        <w:t xml:space="preserve">La suspension, restriction ou fermeture d'un compte suit [Suspension et fermeture du compte]. Sauf urgence, fraude manifeste, risque de sécurité ou obligation légale, l'utilisateur reçoit le motif, la portée et la durée prévisible de la mesure et peut utiliser le recours indiqué. La sanction reste proportionnée aux faits et tient compte de leur gravité, répétition et correction. La fermeture organise l'accès aux données encore restituables, les opérations en cours et les obligations qui survivent.</w:t>
      </w:r>
    </w:p>
    <w:p>
      <w:pPr>
        <w:pStyle w:val="Intertitre"/>
      </w:pPr>
      <w:r>
        <w:t xml:space="preserve">Clause optionnelle : Accès sans compte</w:t>
      </w:r>
    </w:p>
    <w:p>
      <w:pPr>
        <w:pStyle w:val="Corps"/>
      </w:pPr>
      <w:r>
        <w:t xml:space="preserve">Les visiteurs peuvent accéder à [Accès sans compte] sans créer de compte. Les fonctions nécessitant une identification ou une acceptation spécifique le signalent avant toute collecte de données ou action engageante. L'accès public reste soumis aux règles de sécurité, de propriété intellectuelle et d'usage licite pertinentes. L'éditeur ne conditionne pas artificiellement une simple consultation à la fourniture d'informations qui ne sont pas nécessaires à cette consultation.</w:t>
      </w:r>
    </w:p>
    <w:p>
      <w:pPr>
        <w:pStyle w:val="Intertitre"/>
      </w:pPr>
      <w:r>
        <w:t xml:space="preserve">Disponibilité</w:t>
      </w:r>
    </w:p>
    <w:p>
      <w:pPr>
        <w:pStyle w:val="Corps"/>
      </w:pPr>
      <w:r>
        <w:t xml:space="preserve">Le service est exploité selon [Disponibilité du service]. L'éditeur ne garantit pas une disponibilité absolue, mais met en œuvre les moyens, capacités et mesures de continuité annoncés. Les incidents significatifs font l'objet d'une information adaptée à leur portée et d'un suivi jusqu'au rétablissement. Les éventuels taux de disponibilité, fenêtres d'exclusion, pénalités ou crédits de service n'existent que s'ils sont définis dans un engagement particulier mesurable.</w:t>
      </w:r>
    </w:p>
    <w:p>
      <w:pPr>
        <w:pStyle w:val="Intertitre"/>
      </w:pPr>
      <w:r>
        <w:t xml:space="preserve">Maintenance et évolution</w:t>
      </w:r>
    </w:p>
    <w:p>
      <w:pPr>
        <w:pStyle w:val="Corps"/>
      </w:pPr>
      <w:r>
        <w:t xml:space="preserve">Les opérations de maintenance et les évolutions suivent [Maintenance]. Les interventions planifiées sont annoncées lorsqu'elles affectent sensiblement l'accès; les correctifs urgents peuvent être appliqués sans préavis complet pour protéger le service ou ses utilisateurs. Une évolution ne retire pas rétroactivement un droit acquis au titre d'un contrat distinct. Toute modification substantielle d'une fonctionnalité continue est accompagnée des informations et choix exigés par le contrat ou la loi.</w:t>
      </w:r>
    </w:p>
    <w:p>
      <w:pPr>
        <w:pStyle w:val="Intertitre"/>
      </w:pPr>
      <w:r>
        <w:t xml:space="preserve">Assistance</w:t>
      </w:r>
    </w:p>
    <w:p>
      <w:pPr>
        <w:pStyle w:val="Corps"/>
      </w:pPr>
      <w:r>
        <w:t xml:space="preserve">L'assistance est accessible par [Support utilisateur] dans le périmètre, les horaires et les langues indiqués. La demande doit permettre d'identifier le compte, la fonction concernée et le symptôme sans transmettre inutilement de données sensibles. L'éditeur accuse réception selon le canal disponible, qualifie la demande et communique son état. Les délais annoncés sont clairement présentés comme engagements contractuels ou simples objectifs de traitement.</w:t>
      </w:r>
    </w:p>
    <w:p>
      <w:pPr>
        <w:pStyle w:val="Intertitre"/>
      </w:pPr>
      <w:r>
        <w:t xml:space="preserve">Clause optionnelle : Services payants</w:t>
      </w:r>
    </w:p>
    <w:p>
      <w:pPr>
        <w:pStyle w:val="Corps"/>
      </w:pPr>
      <w:r>
        <w:t xml:space="preserve">Les biens, abonnements ou services payants sont soumis à [Conditions des services payants], document qui précise notamment leur contenu, leur prix, la facturation, la durée, le renouvellement, la résiliation et les droits applicables. Les CGU n'ajoutent aucun prix, engagement ou renonciation qui n'a pas été présenté avant la souscription. Lorsqu'un consommateur est concerné, les informations précontractuelles et modalités d'exercice de ses droits sont fournies dans le parcours de vente.</w:t>
      </w:r>
    </w:p>
    <w:p>
      <w:pPr>
        <w:pStyle w:val="Intertitre"/>
      </w:pPr>
      <w:r>
        <w:t xml:space="preserve">Clause optionnelle : Conclusion électronique</w:t>
      </w:r>
    </w:p>
    <w:p>
      <w:pPr>
        <w:pStyle w:val="Corps"/>
      </w:pPr>
      <w:r>
        <w:t xml:space="preserve">Le parcours de souscription électronique suit [Étapes du contrat électronique]. Avant confirmation, l'utilisateur peut consulter les caractéristiques essentielles, le prix et la durée, vérifier le détail de son opération, corriger les erreurs et accepter les documents applicables. La confirmation récapitule l'engagement et permet de conserver ou reproduire les stipulations. Les règles d'archivage, d'accusé de réception et de preuve sont appliquées selon la nature et le montant de l'opération.</w:t>
      </w:r>
    </w:p>
    <w:p>
      <w:pPr>
        <w:pStyle w:val="Intertitre"/>
      </w:pPr>
      <w:r>
        <w:t xml:space="preserve">Usages autorisés</w:t>
      </w:r>
    </w:p>
    <w:p>
      <w:pPr>
        <w:pStyle w:val="Corps"/>
      </w:pPr>
      <w:r>
        <w:t xml:space="preserve">L'utilisateur emploie le service conformément à [Usages autorisés], à sa destination, à la documentation affichée et aux droits des tiers. Tout accès accordé reste personnel ou limité aux rôles habilités et ne couvre que les fonctions du compte concerné. L'utilisateur vérifie les résultats avant de les exploiter dans un contexte sensible et conserve les informations nécessaires à ses propres obligations. Une autorisation ponctuelle n'étend pas automatiquement le périmètre d'usage.</w:t>
      </w:r>
    </w:p>
    <w:p>
      <w:pPr>
        <w:pStyle w:val="Intertitre"/>
      </w:pPr>
      <w:r>
        <w:t xml:space="preserve">Usages interdits</w:t>
      </w:r>
    </w:p>
    <w:p>
      <w:pPr>
        <w:pStyle w:val="Corps"/>
      </w:pPr>
      <w:r>
        <w:t xml:space="preserve">Sont interdits les comportements décrits dans [Usages interdits], notamment l'accès frauduleux, le contournement des mesures de sécurité, l'atteinte à l'intégrité du service, l'usurpation, la diffusion de contenus illicites et l'atteinte aux droits de tiers. Les restrictions sont appliquées objectivement et proportionnellement. Les recherches de sécurité autorisées suivent le canal prévu; aucune clause ne peut interdire un signalement licite ou l'exercice d'un droit impératif.</w:t>
      </w:r>
    </w:p>
    <w:p>
      <w:pPr>
        <w:pStyle w:val="Intertitre"/>
      </w:pPr>
      <w:r>
        <w:t xml:space="preserve">Clause optionnelle : Robots, scripts et API</w:t>
      </w:r>
    </w:p>
    <w:p>
      <w:pPr>
        <w:pStyle w:val="Corps"/>
      </w:pPr>
      <w:r>
        <w:t xml:space="preserve">L'accès par robot, script, extraction automatisée ou API est soumis à [Accès automatisé]. Une API publique ou une autorisation écrite prévaut dans son périmètre et peut définir quotas, authentification, formats et usages permis. Sont interdits le contournement des limites, la perturbation du service et l'extraction portant atteinte aux droits ou à la sécurité. Toute suspension technique est proportionnée au risque et peut faire l'objet du canal de recours applicable.</w:t>
      </w:r>
    </w:p>
    <w:p>
      <w:pPr>
        <w:pStyle w:val="Intertitre"/>
      </w:pPr>
      <w:r>
        <w:t xml:space="preserve">Clause optionnelle : Contenus déposés par les utilisateurs</w:t>
      </w:r>
    </w:p>
    <w:p>
      <w:pPr>
        <w:pStyle w:val="Corps"/>
      </w:pPr>
      <w:r>
        <w:t xml:space="preserve">Les utilisateurs peuvent déposer [Contenus des utilisateurs] dans les espaces prévus. Ils choisissent ce qu'ils publient, respectent l'audience et s'assurent que le contenu ne viole ni la loi, ni les droits d'autrui, ni les règles communautaires. Ils demeurent responsables de leurs publications sans que cette responsabilité écarte les obligations propres de l'éditeur. Les paramètres de visibilité, délais de conservation et moyens de suppression disponibles sont indiqués dans le parcours.</w:t>
      </w:r>
    </w:p>
    <w:p>
      <w:pPr>
        <w:pStyle w:val="Intertitre"/>
      </w:pPr>
      <w:r>
        <w:t xml:space="preserve">Clause optionnelle : Licence technique</w:t>
      </w:r>
    </w:p>
    <w:p>
      <w:pPr>
        <w:pStyle w:val="Corps"/>
      </w:pPr>
      <w:r>
        <w:t xml:space="preserve">Pour héberger, afficher, adapter techniquement et distribuer le contenu dans la fonction demandée, l'utilisateur concède [Licence sur les contenus utilisateurs]. Cette licence est non exclusive et limitée aux actes, territoires, supports et durées nécessaires au fonctionnement décrit. Elle ne permet pas une exploitation étrangère au service sans accord distinct. Elle prend fin avec la suppression du contenu, sous réserve des sauvegardes transitoires, partages déjà réalisés et obligations légales documentées.</w:t>
      </w:r>
    </w:p>
    <w:p>
      <w:pPr>
        <w:pStyle w:val="Intertitre"/>
      </w:pPr>
      <w:r>
        <w:t xml:space="preserve">Clause optionnelle : Droits sur les contenus</w:t>
      </w:r>
    </w:p>
    <w:p>
      <w:pPr>
        <w:pStyle w:val="Corps"/>
      </w:pPr>
      <w:r>
        <w:t xml:space="preserve">L'utilisateur respecte [Garanties de l'utilisateur sur ses contenus] et vérifie qu'il détient les droits ou autorisations nécessaires sur les éléments publiés. Il ne transfère pas la propriété de son contenu du seul fait de sa mise en ligne et conserve les droits non expressément concédés. En cas de réclamation, il fournit les informations utiles dont il dispose, sans être tenu à une garantie générale impossible ni à une indemnisation détachée de sa responsabilité réelle.</w:t>
      </w:r>
    </w:p>
    <w:p>
      <w:pPr>
        <w:pStyle w:val="Intertitre"/>
      </w:pPr>
      <w:r>
        <w:t xml:space="preserve">Clause optionnelle : Règles de modération</w:t>
      </w:r>
    </w:p>
    <w:p>
      <w:pPr>
        <w:pStyle w:val="Corps"/>
      </w:pPr>
      <w:r>
        <w:t xml:space="preserve">La modération suit [Politique de modération]. Les mesures peuvent comprendre limitation de visibilité, retrait, avertissement, suspension ou fermeture selon la nature, la gravité, la répétition et les conséquences du comportement. Sauf exception légalement justifiée, l'utilisateur concerné reçoit les motifs, la portée et le recours disponible. L'éditeur ne se réserve pas un pouvoir arbitraire et documente le processus par [Contrôle de la modération], y compris la prise en compte des erreurs et contestations.</w:t>
      </w:r>
    </w:p>
    <w:p>
      <w:pPr>
        <w:pStyle w:val="Intertitre"/>
      </w:pPr>
      <w:r>
        <w:t xml:space="preserve">Clause optionnelle : Signalement d'un contenu</w:t>
      </w:r>
    </w:p>
    <w:p>
      <w:pPr>
        <w:pStyle w:val="Corps"/>
      </w:pPr>
      <w:r>
        <w:t xml:space="preserve">Un contenu potentiellement illicite peut être signalé par [Canal de signalement]. Le signalement identifie précisément le contenu, sa localisation, les raisons invoquées et les coordonnées nécessaires au traitement, sans imposer de données sans rapport. L'éditeur accuse réception lorsque le mécanisme le prévoit, examine le signalement avec diligence et notifie la décision selon le régime applicable. Le fonctionnement opérationnel et la conservation des preuves sont décrits par [Contrôle du mécanisme de signalement].</w:t>
      </w:r>
    </w:p>
    <w:p>
      <w:pPr>
        <w:pStyle w:val="Intertitre"/>
      </w:pPr>
      <w:r>
        <w:t xml:space="preserve">Clause optionnelle : Contestations</w:t>
      </w:r>
    </w:p>
    <w:p>
      <w:pPr>
        <w:pStyle w:val="Corps"/>
      </w:pPr>
      <w:r>
        <w:t xml:space="preserve">Une décision de modération peut être contestée par [Recours contre une décision] dans les conditions affichées. Le recours permet à l'utilisateur d'exposer ses motifs et de joindre les éléments pertinents. Le réexamen est conduit par une personne ou une procédure offrant un contrôle réel de la décision initiale et non une réponse purement automatique. L'issue est motivée, notifiée et appliquée au contenu ou au compte concerné.</w:t>
      </w:r>
    </w:p>
    <w:p>
      <w:pPr>
        <w:pStyle w:val="Intertitre"/>
      </w:pPr>
      <w:r>
        <w:t xml:space="preserve">Clause optionnelle : Service intermédiaire</w:t>
      </w:r>
    </w:p>
    <w:p>
      <w:pPr>
        <w:pStyle w:val="Corps"/>
      </w:pPr>
      <w:r>
        <w:t xml:space="preserve">Le service est qualifié de service intermédiaire pour les fonctions documentées. Les obligations sont déterminées d'après la nature réelle de chaque fonction, la localisation des destinataires et les éventuelles exemptions applicables. Cette qualification n'attribue pas automatiquement au service les responsabilités propres à l'hébergement ou à la plateforme en ligne. Les points de contact, conditions d'utilisation et rapports de transparence requis sont adaptés au périmètre effectivement exploité.</w:t>
      </w:r>
    </w:p>
    <w:p>
      <w:pPr>
        <w:pStyle w:val="Intertitre"/>
      </w:pPr>
      <w:r>
        <w:t xml:space="preserve">Clause optionnelle : Service d’hébergement</w:t>
      </w:r>
    </w:p>
    <w:p>
      <w:pPr>
        <w:pStyle w:val="Corps"/>
      </w:pPr>
      <w:r>
        <w:t xml:space="preserve">Le service est qualifié de service d'hébergement pour les informations stockées à la demande d'un destinataire. Le mécanisme de signalement permet une identification suffisamment précise du contenu et des motifs. Les décisions de retrait ou de maintien tiennent compte du régime applicable, des informations disponibles et des garanties procédurales. Les autres fonctions du service ne sont pas assimilées à l'hébergement sans analyse distincte.</w:t>
      </w:r>
    </w:p>
    <w:p>
      <w:pPr>
        <w:pStyle w:val="Intertitre"/>
      </w:pPr>
      <w:r>
        <w:t xml:space="preserve">Clause optionnelle : Plateforme en ligne</w:t>
      </w:r>
    </w:p>
    <w:p>
      <w:pPr>
        <w:pStyle w:val="Corps"/>
      </w:pPr>
      <w:r>
        <w:t xml:space="preserve">Le service est qualifié de plateforme en ligne pour la fonction qui stocke et diffuse au public, à la demande d'un destinataire, les informations concernées. Les obligations sont ajustées à la taille, à l'audience, aux fonctionnalités et aux éventuelles exemptions effectivement vérifiées. Les conditions de modération, le système interne de réclamation, les informations de transparence et, le cas échéant, les obligations liées aux professionnels sont documentés dans le périmètre applicable.</w:t>
      </w:r>
    </w:p>
    <w:p>
      <w:pPr>
        <w:pStyle w:val="Intertitre"/>
      </w:pPr>
      <w:r>
        <w:t xml:space="preserve">Clause optionnelle : Point de contact</w:t>
      </w:r>
    </w:p>
    <w:p>
      <w:pPr>
        <w:pStyle w:val="Corps"/>
      </w:pPr>
      <w:r>
        <w:t xml:space="preserve">Le point de contact destiné aux communications électroniques est [Point de contact de la plateforme]. Il est aisément accessible, tenu à jour et permet une communication directe et rapide selon les moyens annoncés, sans dépendre exclusivement d'un outil automatisé lorsque le régime l'exige. La qualification du service est justifiée par [Qualification DSA] et le caractère opérationnel du contact par [Contrôle du point de contact DSA].</w:t>
      </w:r>
    </w:p>
    <w:p>
      <w:pPr>
        <w:pStyle w:val="Intertitre"/>
      </w:pPr>
      <w:r>
        <w:t xml:space="preserve">Clause optionnelle : Liens externes</w:t>
      </w:r>
    </w:p>
    <w:p>
      <w:pPr>
        <w:pStyle w:val="Corps"/>
      </w:pPr>
      <w:r>
        <w:t xml:space="preserve">Les liens vers des ressources externes sont régis par [Liens externes]. L'éditeur contrôle leur contexte lors de l'insertion et retire ou corrige un lien lorsqu'un problème pertinent lui est signalé. Il ne maîtrise toutefois ni la disponibilité future ni les modifications d'un service tiers indépendant. La présence d'un lien ne vaut ni approbation générale de son contenu ni transfert de responsabilité pour une opération conclue directement avec le tiers.</w:t>
      </w:r>
    </w:p>
    <w:p>
      <w:pPr>
        <w:pStyle w:val="Intertitre"/>
      </w:pPr>
      <w:r>
        <w:t xml:space="preserve">Clause optionnelle : Services tiers intégrés</w:t>
      </w:r>
    </w:p>
    <w:p>
      <w:pPr>
        <w:pStyle w:val="Corps"/>
      </w:pPr>
      <w:r>
        <w:t xml:space="preserve">Les services tiers intégrés ou accessibles depuis le service suivent [Services tiers intégrés]. L'utilisateur est informé lorsqu'il quitte l'environnement de l'éditeur, utilise un compte tiers ou contracte avec un autre fournisseur. Les données transmises, les finalités et les responsabilités sont présentées dans la documentation applicable. Une indisponibilité du tiers est traitée selon le rôle réel de l'éditeur et les engagements particuliers, sans confusion entre les deux services.</w:t>
      </w:r>
    </w:p>
    <w:p>
      <w:pPr>
        <w:pStyle w:val="Intertitre"/>
      </w:pPr>
      <w:r>
        <w:t xml:space="preserve">Propriété intellectuelle</w:t>
      </w:r>
    </w:p>
    <w:p>
      <w:pPr>
        <w:pStyle w:val="Corps"/>
      </w:pPr>
      <w:r>
        <w:t xml:space="preserve">Les éléments protégés du service comprennent [Éléments protégés du service], sous réserve des droits appartenant aux utilisateurs, partenaires ou autres titulaires. La consultation du service n'emporte aucun transfert de propriété intellectuelle. Les marques, logiciels, bases, textes, images, interfaces et documentations ne peuvent être exploités au-delà des droits accordés ou des exceptions légales. Toute demande de réutilisation est adressée au titulaire identifié avant l'usage envisagé.</w:t>
      </w:r>
    </w:p>
    <w:p>
      <w:pPr>
        <w:pStyle w:val="Intertitre"/>
      </w:pPr>
      <w:r>
        <w:t xml:space="preserve">Droit d'utilisation</w:t>
      </w:r>
    </w:p>
    <w:p>
      <w:pPr>
        <w:pStyle w:val="Corps"/>
      </w:pPr>
      <w:r>
        <w:t xml:space="preserve">L'utilisateur bénéficie de [Licence d'utilisation du service] pour accéder au service et l'utiliser dans le périmètre autorisé. Ce droit est personnel ou limité aux utilisateurs habilités, non exclusif, non cessible sauf accord, et prend fin avec le droit d'accès. Toute reproduction, adaptation, extraction ou mise à disposition au-delà de ce périmètre requiert l'autorisation du titulaire concerné ou un fondement légal. Les droits sur les contenus propres de l'utilisateur restent distincts.</w:t>
      </w:r>
    </w:p>
    <w:p>
      <w:pPr>
        <w:pStyle w:val="Intertitre"/>
      </w:pPr>
      <w:r>
        <w:t xml:space="preserve">Clause optionnelle : Signalement de vulnérabilité</w:t>
      </w:r>
    </w:p>
    <w:p>
      <w:pPr>
        <w:pStyle w:val="Corps"/>
      </w:pPr>
      <w:r>
        <w:t xml:space="preserve">Une vulnérabilité peut être signalée par [Signalement de vulnérabilité]. Le signalant agit de bonne foi, limite ses tests au strict nécessaire, évite toute interruption ou accès à des données étrangères et transmet les éléments permettant de reproduire le problème. L'éditeur accuse réception, qualifie la criticité, organise la correction et informe du suivi dans une mesure compatible avec la sécurité. Le signalement responsable ne vaut pas autorisation générale de tester le service.</w:t>
      </w:r>
    </w:p>
    <w:p>
      <w:pPr>
        <w:pStyle w:val="Intertitre"/>
      </w:pPr>
      <w:r>
        <w:t xml:space="preserve">Données personnelles</w:t>
      </w:r>
    </w:p>
    <w:p>
      <w:pPr>
        <w:pStyle w:val="Corps"/>
      </w:pPr>
      <w:r>
        <w:t xml:space="preserve">Les traitements de données liés au service sont décrits dans [Notice de protection des données], document distinct qui précise notamment les responsables, finalités, bases, destinataires, durées, transferts et droits applicables. Les utilisateurs exercent leurs droits auprès de [Contact données personnelles]. Une finalité facultative n'est pas confondue avec l'acceptation des CGU. La notice correspondant réellement aux fonctionnalités et parcours publiés est identifiée par [Contrôle de la notice de données] et mise à jour indépendamment des présentes conditions.</w:t>
      </w:r>
    </w:p>
    <w:p>
      <w:pPr>
        <w:pStyle w:val="Intertitre"/>
      </w:pPr>
      <w:r>
        <w:t xml:space="preserve">Clause optionnelle : Cookies soumis au consentement</w:t>
      </w:r>
    </w:p>
    <w:p>
      <w:pPr>
        <w:pStyle w:val="Corps"/>
      </w:pPr>
      <w:r>
        <w:t xml:space="preserve">Les traceurs non strictement nécessaires sont décrits dans [Politique cookies] et ne sont déposés qu'après un choix valable pour leurs finalités. L'utilisateur peut refuser aussi aisément qu'il accepte et modifier ou retirer son choix à tout moment via [Gestionnaire de consentement]. Aucun silence ni poursuite de navigation ne vaut consentement. La preuve du choix, de sa version et de son retrait est conservée selon [Contrôle du consentement aux traceurs] sans prolonger indûment sa durée.</w:t>
      </w:r>
    </w:p>
    <w:p>
      <w:pPr>
        <w:pStyle w:val="Intertitre"/>
      </w:pPr>
      <w:r>
        <w:t xml:space="preserve">Traceurs strictement nécessaires</w:t>
      </w:r>
    </w:p>
    <w:p>
      <w:pPr>
        <w:pStyle w:val="Corps"/>
      </w:pPr>
      <w:r>
        <w:t xml:space="preserve">Les traceurs présentés comme strictement nécessaires sont limités à [Traceurs nécessaires] et servent exclusivement aux fonctions qui justifient cette qualification. Leur nécessité, leur durée et leur finalité sont documentées. Aucun traceur publicitaire, de profilage ou de partage avec un tiers n'est classé comme nécessaire par simple convenance. Les utilisateurs reçoivent une information accessible sur ces traceurs même lorsqu'aucun consentement préalable n'est requis.</w:t>
      </w:r>
    </w:p>
    <w:p>
      <w:pPr>
        <w:pStyle w:val="Intertitre"/>
      </w:pPr>
      <w:r>
        <w:t xml:space="preserve">Clause optionnelle : Lettre d'information</w:t>
      </w:r>
    </w:p>
    <w:p>
      <w:pPr>
        <w:pStyle w:val="Corps"/>
      </w:pPr>
      <w:r>
        <w:t xml:space="preserve">L'inscription, l'envoi et la désinscription de la lettre d'information suivent [Lettre d'information]. Le destinataire est informé de l'identité de l'expéditeur, du contenu attendu et du moyen de se désinscrire. Le refus ou le retrait d'un consentement marketing n'affecte pas les fonctions qui ne dépendent pas de cette communication. Chaque message comporte un mécanisme de désinscription effectif et les listes sont mises à jour dans un délai opérationnel.</w:t>
      </w:r>
    </w:p>
    <w:p>
      <w:pPr>
        <w:pStyle w:val="Intertitre"/>
      </w:pPr>
      <w:r>
        <w:t xml:space="preserve">Responsabilité</w:t>
      </w:r>
    </w:p>
    <w:p>
      <w:pPr>
        <w:pStyle w:val="Corps"/>
      </w:pPr>
      <w:r>
        <w:t xml:space="preserve">La responsabilité est répartie selon [Responsabilité du service], en tenant compte du rôle réel de l'éditeur, de l'utilisateur et des tiers, de leurs obligations respectives et du lien avec le dommage allégué. L'utilisateur demeure responsable de ses choix et contenus, tandis que l'éditeur répond de ses propres manquements. Aucune exclusion ne couvre une obligation impérative, une faute qui ne peut être limitée ou un dommage dont l'exclusion serait illicite. Les plafonds éventuels relèvent des conditions particulières applicables.</w:t>
      </w:r>
    </w:p>
    <w:p>
      <w:pPr>
        <w:pStyle w:val="Intertitre"/>
      </w:pPr>
      <w:r>
        <w:t xml:space="preserve">Force majeure</w:t>
      </w:r>
    </w:p>
    <w:p>
      <w:pPr>
        <w:pStyle w:val="Corps"/>
      </w:pPr>
      <w:r>
        <w:t xml:space="preserve">La gestion d'un événement de force majeure suit [Gestion de la force majeure]. La partie empêchée informe l'autre de l'événement, de ses effets prévisibles et des mesures prises pour les limiter. L'exécution est suspendue uniquement dans la mesure et pendant la durée de l'empêchement. Lorsque celui-ci devient définitif ou se prolonge au-delà du seuil contractuel applicable, les conséquences sur la relation sont déterminées selon la loi et les conditions particulières, sans effacer les obligations déjà exigibles.</w:t>
      </w:r>
    </w:p>
    <w:p>
      <w:pPr>
        <w:pStyle w:val="Intertitre"/>
      </w:pPr>
      <w:r>
        <w:t xml:space="preserve">Preuve électronique</w:t>
      </w:r>
    </w:p>
    <w:p>
      <w:pPr>
        <w:pStyle w:val="Corps"/>
      </w:pPr>
      <w:r>
        <w:t xml:space="preserve">Les versions des CGU, preuves d'acceptation, confirmations et opérations significatives sont conservées dans des conditions permettant d'identifier leur auteur, leur date, leur contenu et leur intégrité. Les journaux techniques sont interprétés avec les autres éléments du dossier et ne créent pas une présomption irréfragable contre l'utilisateur. Chaque partie peut produire tout élément contraire pertinent. La valeur probante de l'écrit électronique dépend du respect des conditions légales d'identification et de conservation.</w:t>
      </w:r>
    </w:p>
    <w:p>
      <w:pPr>
        <w:pStyle w:val="Intertitre"/>
      </w:pPr>
      <w:r>
        <w:t xml:space="preserve">Modification des CGU</w:t>
      </w:r>
    </w:p>
    <w:p>
      <w:pPr>
        <w:pStyle w:val="Corps"/>
      </w:pPr>
      <w:r>
        <w:t xml:space="preserve">Chaque nouvelle version indique sa date d'effet et la nature des modifications substantielles. Elle ne modifie pas rétroactivement une opération achevée. Lorsqu'une relation continue est affectée, l'utilisateur reçoit une information préalable adaptée et dispose des choix prévus par le contrat ou la loi, notamment lorsque son accord est nécessaire. Les versions antérieures restent archivées pour déterminer les règles applicables à une date donnée; la poursuite d'usage ne vaut acceptation que dans un cadre juridiquement valable.</w:t>
      </w:r>
    </w:p>
    <w:p>
      <w:pPr>
        <w:pStyle w:val="Intertitre"/>
      </w:pPr>
      <w:r>
        <w:t xml:space="preserve">Réclamation préalable</w:t>
      </w:r>
    </w:p>
    <w:p>
      <w:pPr>
        <w:pStyle w:val="Corps"/>
      </w:pPr>
      <w:r>
        <w:t xml:space="preserve">Toute réclamation relative au service peut être adressée par [Canal de réclamation]. Elle identifie le compte, l'opération, le contenu ou la décision concernée et expose les éléments utiles sans imposer de données disproportionnées. L'éditeur accuse réception, attribue une référence et communique une réponse motivée dans un délai raisonnable ou dans le délai particulier applicable. La réclamation n'interrompt un délai légal que lorsqu'un texte ou un accord le prévoit expressément.</w:t>
      </w:r>
    </w:p>
    <w:p>
      <w:pPr>
        <w:pStyle w:val="Intertitre"/>
      </w:pPr>
      <w:r>
        <w:t xml:space="preserve">Clause optionnelle : Médiation de la consommation</w:t>
      </w:r>
    </w:p>
    <w:p>
      <w:pPr>
        <w:pStyle w:val="Corps"/>
      </w:pPr>
      <w:r>
        <w:t xml:space="preserve">Lorsqu'un consommateur a conclu avec le professionnel un contrat entrant dans le champ de la médiation, il peut saisir gratuitement [Médiateur de la consommation] après une réclamation préalable non résolue. Les coordonnées, le site et les modalités de saisine sont rendus accessibles. L'adhésion du professionnel et la compétence du médiateur pour l'activité concernée sont établies par [Contrôle du médiateur]. Le recours à la médiation demeure facultatif pour le consommateur et ne supprime pas son droit d'agir en justice.</w:t>
      </w:r>
    </w:p>
    <w:p>
      <w:pPr>
        <w:pStyle w:val="Intertitre"/>
      </w:pPr>
      <w:r>
        <w:t xml:space="preserve">Droit applicable et juridictions</w:t>
      </w:r>
    </w:p>
    <w:p>
      <w:pPr>
        <w:pStyle w:val="Corps"/>
      </w:pPr>
      <w:r>
        <w:t xml:space="preserve">Les CGU sont soumises à [Droit applicable], sous réserve des règles impératives et des protections dont l'utilisateur ne peut être privé. Les litiges relèvent de [Juridictions compétentes] selon les règles de compétence applicables à la situation réelle. Aucune stipulation n'impose à un consommateur une juridiction territoriale exclusive contraire à ses droits. Les parties peuvent rechercher une solution amiable sans que cette démarche prive l'une d'elles de saisir le juge compétent dans les délais.</w:t>
      </w:r>
    </w:p>
    <w:p>
      <w:pPr>
        <w:pStyle w:val="Intertitre"/>
      </w:pPr>
      <w:r>
        <w:t xml:space="preserve">Publication et approbation</w:t>
      </w:r>
    </w:p>
    <w:p>
      <w:pPr>
        <w:pStyle w:val="Corps"/>
      </w:pPr>
      <w:r>
        <w:t xml:space="preserve">La version [Version des CGU] entre en vigueur le [Date d'entrée en vigueur] et demeure accessible à [Adresse du service] dans un format consultable. La date de publication, les versions successives et les modifications substantielles sont conservées afin d'identifier le texte applicable à chaque usage ou acceptation. L'éditeur vérifie avant publication la cohérence entre les présentes CGU, les fonctionnalités réellement disponibles, les mentions légales et les documents distincts auxquels elles renvoient.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