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CONDITIONS GÉNÉRALES DE VENTE B2B</w:t>
      </w:r>
    </w:p>
    <w:p>
      <w:pPr>
        <w:pStyle w:val="Intertitre"/>
      </w:pPr>
      <w:r>
        <w:t xml:space="preserve">Champ d'application et version</w:t>
      </w:r>
    </w:p>
    <w:p>
      <w:pPr>
        <w:pStyle w:val="Corps"/>
      </w:pPr>
      <w:r>
        <w:t xml:space="preserve">Les présentes conditions générales de vente sont établies par [Identité juridique du vendeur], désigné [Vendeur], pour les acheteurs professionnels relevant de [Catégorie d'acheteurs concernée], désignés [Acheteur professionnel]. Elles s'appliquent aux commandes acceptées à compter du [Date d'entrée en vigueur] sous la version [Version des CGV] et excluent toute acquisition réalisée à titre personnel par un consommateur. La qualification professionnelle est établie par [Justificatif du périmètre B2B].</w:t>
      </w:r>
    </w:p>
    <w:p>
      <w:pPr>
        <w:pStyle w:val="Intertitre"/>
      </w:pPr>
      <w:r>
        <w:t xml:space="preserve">Communication et acceptation</w:t>
      </w:r>
    </w:p>
    <w:p>
      <w:pPr>
        <w:pStyle w:val="Corps"/>
      </w:pPr>
      <w:r>
        <w:t xml:space="preserve">Le vendeur communique les présentes CGV sur un support durable avant ou lors de la commande. Leur opposabilité repose sur [Preuve d'acceptation des CGV]. L'acheteur reconnaît avoir pu en prendre connaissance avant de s'engager; une simple mise à disposition non portée à sa connaissance ne vaut pas acceptation. Le dossier d'opposabilité est : [Preuve d'opposabilité].</w:t>
      </w:r>
    </w:p>
    <w:p>
      <w:pPr>
        <w:pStyle w:val="Intertitre"/>
      </w:pPr>
      <w:r>
        <w:t xml:space="preserve">Hiérarchie des documents contractuels</w:t>
      </w:r>
    </w:p>
    <w:p>
      <w:pPr>
        <w:pStyle w:val="Corps"/>
      </w:pPr>
      <w:r>
        <w:t xml:space="preserve">Les conditions particulières expressément acceptées prévalent sur les stipulations incompatibles des présentes CGV. L'ordre de priorité complet est celui-ci : [Hiérarchie contractuelle]. Les conditions d'achat de l'acheteur ne produisent effet que dans la mesure où le vendeur les a expressément acceptées.</w:t>
      </w:r>
    </w:p>
    <w:p>
      <w:pPr>
        <w:pStyle w:val="Intertitre"/>
      </w:pPr>
      <w:r>
        <w:t xml:space="preserve">Catégorie d'acheteurs — choisir une seule variante</w:t>
      </w:r>
    </w:p>
    <w:p>
      <w:pPr>
        <w:pStyle w:val="Variante"/>
      </w:pPr>
      <w:r>
        <w:t xml:space="preserve">Variante : Acheteur professionnel utilisateur</w:t>
      </w:r>
    </w:p>
    <w:p>
      <w:pPr>
        <w:pStyle w:val="Corps"/>
      </w:pPr>
      <w:r>
        <w:t xml:space="preserve">Cette version est destinée aux professionnels qui acquièrent les produits ou services pour les besoins directs de leur activité, sans intention principale de revente. Les conditions tarifaires et obligations de coopération sont appréciées au regard de cette catégorie d'acheteurs.</w:t>
      </w:r>
    </w:p>
    <w:p>
      <w:pPr>
        <w:pStyle w:val="Variante"/>
      </w:pPr>
      <w:r>
        <w:t xml:space="preserve">Variante : Acheteur revendeur</w:t>
      </w:r>
    </w:p>
    <w:p>
      <w:pPr>
        <w:pStyle w:val="Corps"/>
      </w:pPr>
      <w:r>
        <w:t xml:space="preserve">Cette version est destinée aux professionnels qui achètent pour revendre. Les conditions commerciales propres à cette catégorie, notamment les barèmes, réductions et contraintes de présentation des produits, doivent être identifiées dans les documents particuliers applicables.</w:t>
      </w:r>
    </w:p>
    <w:p>
      <w:pPr>
        <w:pStyle w:val="Variante"/>
      </w:pPr>
      <w:r>
        <w:t xml:space="preserve">Variante : Acheteur intégrateur</w:t>
      </w:r>
    </w:p>
    <w:p>
      <w:pPr>
        <w:pStyle w:val="Corps"/>
      </w:pPr>
      <w:r>
        <w:t xml:space="preserve">Cette version est destinée aux professionnels qui incorporent les produits ou services dans leur propre offre ou processus. L'acheteur demeure responsable de la validation de la compatibilité de l'intégration avec son environnement et son usage final.</w:t>
      </w:r>
    </w:p>
    <w:p>
      <w:pPr>
        <w:pStyle w:val="Intertitre"/>
      </w:pPr>
      <w:r>
        <w:t xml:space="preserve">Périmètre vendu — choisir une seule variante</w:t>
      </w:r>
    </w:p>
    <w:p>
      <w:pPr>
        <w:pStyle w:val="Variante"/>
      </w:pPr>
      <w:r>
        <w:t xml:space="preserve">Variante : Produits couverts</w:t>
      </w:r>
    </w:p>
    <w:p>
      <w:pPr>
        <w:pStyle w:val="Corps"/>
      </w:pPr>
      <w:r>
        <w:t xml:space="preserve">Les ventes portent sur les produits définis dans [Produits couverts]. Leurs caractéristiques essentielles, tolérances, conditionnements et compatibilités résultent de [Source des caractéristiques essentielles] dans la version remise avec l'offre ou la commande acceptée.</w:t>
      </w:r>
    </w:p>
    <w:p>
      <w:pPr>
        <w:pStyle w:val="Variante"/>
      </w:pPr>
      <w:r>
        <w:t xml:space="preserve">Variante : Services couverts</w:t>
      </w:r>
    </w:p>
    <w:p>
      <w:pPr>
        <w:pStyle w:val="Corps"/>
      </w:pPr>
      <w:r>
        <w:t xml:space="preserve">Les ventes portent sur les services définis dans [Services couverts]. Le contenu, les livrables, limites et prérequis applicables résultent de [Source des caractéristiques essentielles] dans la version incorporée à l'offre ou à la commande acceptée.</w:t>
      </w:r>
    </w:p>
    <w:p>
      <w:pPr>
        <w:pStyle w:val="Variante"/>
      </w:pPr>
      <w:r>
        <w:t xml:space="preserve">Variante : Produits et services associés</w:t>
      </w:r>
    </w:p>
    <w:p>
      <w:pPr>
        <w:pStyle w:val="Corps"/>
      </w:pPr>
      <w:r>
        <w:t xml:space="preserve">La commande peut réunir les produits décrits dans [Produits couverts] et les services associés décrits dans [Services couverts]. Leurs caractéristiques, dépendances et limites sont fixées par [Source des caractéristiques essentielles], chaque obligation conservant son régime propre.</w:t>
      </w:r>
    </w:p>
    <w:p>
      <w:pPr>
        <w:pStyle w:val="Intertitre"/>
      </w:pPr>
      <w:r>
        <w:t xml:space="preserve">Offres et devis</w:t>
      </w:r>
    </w:p>
    <w:p>
      <w:pPr>
        <w:pStyle w:val="Corps"/>
      </w:pPr>
      <w:r>
        <w:t xml:space="preserve">Sauf mention contraire, les offres et devis demeurent valables pendant [Durée de validité des offres]. Ils décrivent le périmètre proposé et ne constituent un engagement ferme du vendeur qu'après acceptation de la commande selon la procédure prévue ci-après.</w:t>
      </w:r>
    </w:p>
    <w:p>
      <w:pPr>
        <w:pStyle w:val="Intertitre"/>
      </w:pPr>
      <w:r>
        <w:t xml:space="preserve">Acceptation de commande — choisir une seule variante</w:t>
      </w:r>
    </w:p>
    <w:p>
      <w:pPr>
        <w:pStyle w:val="Variante"/>
      </w:pPr>
      <w:r>
        <w:t xml:space="preserve">Variante : Acceptation par confirmation écrite</w:t>
      </w:r>
    </w:p>
    <w:p>
      <w:pPr>
        <w:pStyle w:val="Corps"/>
      </w:pPr>
      <w:r>
        <w:t xml:space="preserve">L'acheteur transmet sa commande par [Canaux de commande autorisés]. La commande ne devient ferme pour le vendeur qu'à l'émission d'une confirmation par [Canal de confirmation des commandes]. Cette confirmation fixe le périmètre, les quantités, les prix et le calendrier acceptés.</w:t>
      </w:r>
    </w:p>
    <w:p>
      <w:pPr>
        <w:pStyle w:val="Variante"/>
      </w:pPr>
      <w:r>
        <w:t xml:space="preserve">Variante : Acceptation par commencement d'exécution</w:t>
      </w:r>
    </w:p>
    <w:p>
      <w:pPr>
        <w:pStyle w:val="Corps"/>
      </w:pPr>
      <w:r>
        <w:t xml:space="preserve">L'acheteur transmet sa commande par [Canaux de commande autorisés]. Lorsque le vendeur commence expressément l'exécution sans confirmation distincte, ce commencement vaut acceptation dans la seule mesure du périmètre effectivement exécuté et des réserves notifiées par [Canal de confirmation des commandes].</w:t>
      </w:r>
    </w:p>
    <w:p>
      <w:pPr>
        <w:pStyle w:val="Intertitre"/>
      </w:pPr>
      <w:r>
        <w:t xml:space="preserve">Modification et annulation des commandes</w:t>
      </w:r>
    </w:p>
    <w:p>
      <w:pPr>
        <w:pStyle w:val="Corps"/>
      </w:pPr>
      <w:r>
        <w:t xml:space="preserve">Toute modification ou annulation d'une commande acceptée suppose l'accord écrit du vendeur. Les conséquences opérationnelles et financières sont déterminées conformément à [Conditions de modification ou d'annulation], en tenant compte des travaux engagés, approvisionnements irréversibles et frais objectivement justifiés.</w:t>
      </w:r>
    </w:p>
    <w:p>
      <w:pPr>
        <w:pStyle w:val="Intertitre"/>
      </w:pPr>
      <w:r>
        <w:t xml:space="preserve">Prix et devise</w:t>
      </w:r>
    </w:p>
    <w:p>
      <w:pPr>
        <w:pStyle w:val="Corps"/>
      </w:pPr>
      <w:r>
        <w:t xml:space="preserve">Les prix hors taxes sont déterminés par [Référence du barème de prix] et exprimés en [Devise de facturation]. Lorsque le prix ne peut être déterminé à l'avance, le document particulier indique une méthode de calcul vérifiable ou un devis suffisamment détaillé. Le barème applicable et sa version sont identifiés par [Justificatif des prix].</w:t>
      </w:r>
    </w:p>
    <w:p>
      <w:pPr>
        <w:pStyle w:val="Intertitre"/>
      </w:pPr>
      <w:r>
        <w:t xml:space="preserve">Clause optionnelle : Réductions de prix</w:t>
      </w:r>
    </w:p>
    <w:p>
      <w:pPr>
        <w:pStyle w:val="Corps"/>
      </w:pPr>
      <w:r>
        <w:t xml:space="preserve">Les réductions de prix applicables sont exclusivement celles prévues par [Réductions de prix]. Elles sont acquises lorsque leurs conditions objectives sont remplies et apparaissent sur la facture ou dans le document commercial qui en fixe le calcul. Le calcul appliqué est documenté par [Justificatif des réductions].</w:t>
      </w:r>
    </w:p>
    <w:p>
      <w:pPr>
        <w:pStyle w:val="Intertitre"/>
      </w:pPr>
      <w:r>
        <w:t xml:space="preserve">Clause optionnelle : Révision de prix</w:t>
      </w:r>
    </w:p>
    <w:p>
      <w:pPr>
        <w:pStyle w:val="Corps"/>
      </w:pPr>
      <w:r>
        <w:t xml:space="preserve">Le prix peut être révisé selon [Formule de révision du prix]. Le vendeur notifie la nouvelle valeur au moins [Préavis de révision du prix] avant son application aux commandes futures; aucune révision ne modifie rétroactivement une commande déjà acceptée sauf accord particulier. La formule et ses paramètres sont documentés par [Justificatif de révision du prix].</w:t>
      </w:r>
    </w:p>
    <w:p>
      <w:pPr>
        <w:pStyle w:val="Intertitre"/>
      </w:pPr>
      <w:r>
        <w:t xml:space="preserve">Taxes et prélèvements</w:t>
      </w:r>
    </w:p>
    <w:p>
      <w:pPr>
        <w:pStyle w:val="Corps"/>
      </w:pPr>
      <w:r>
        <w:t xml:space="preserve">Les prix sont complétés par les taxes et prélèvements déterminés selon [Régime fiscal et taxes]. Toute exonération ou autoliquidation doit être établie par les justificatifs requis avant la facturation; à défaut, le vendeur applique le régime fiscal normalement exigible. Le traitement retenu est justifié par [Justificatif fiscal].</w:t>
      </w:r>
    </w:p>
    <w:p>
      <w:pPr>
        <w:pStyle w:val="Intertitre"/>
      </w:pPr>
      <w:r>
        <w:t xml:space="preserve">Facturation</w:t>
      </w:r>
    </w:p>
    <w:p>
      <w:pPr>
        <w:pStyle w:val="Corps"/>
      </w:pPr>
      <w:r>
        <w:t xml:space="preserve">La facture est émise lors de [Fait générateur de facturation] et transmise selon [Mode de transmission des factures]. Elle reprend les mentions de la commande, la date d'échéance, les réductions acquises, les pénalités de retard et l'indemnité de recouvrement applicables. La facture est datée du [Date d'émission de la facture] et l'échéance calculée est le [Date d'échéance calculée].</w:t>
      </w:r>
    </w:p>
    <w:p>
      <w:pPr>
        <w:pStyle w:val="Intertitre"/>
      </w:pPr>
      <w:r>
        <w:t xml:space="preserve">Échéance de paiement — choisir une seule variante</w:t>
      </w:r>
    </w:p>
    <w:p>
      <w:pPr>
        <w:pStyle w:val="Variante"/>
      </w:pPr>
      <w:r>
        <w:t xml:space="preserve">Variante : Paiement comptant</w:t>
      </w:r>
    </w:p>
    <w:p>
      <w:pPr>
        <w:pStyle w:val="Corps"/>
      </w:pPr>
      <w:r>
        <w:t xml:space="preserve">Le prix est payable comptant selon [Modalités de calcul de l'échéance] par [Mode de règlement]. Le paiement n'est libératoire qu'à la date de mise à disposition effective des fonds au profit du vendeur. La date d'exigibilité est [Date d'échéance calculée] et son mode de calcul ressort de [Justificatif de l'échéance].</w:t>
      </w:r>
    </w:p>
    <w:p>
      <w:pPr>
        <w:pStyle w:val="Variante"/>
      </w:pPr>
      <w:r>
        <w:t xml:space="preserve">Variante : Paiement à trente jours</w:t>
      </w:r>
    </w:p>
    <w:p>
      <w:pPr>
        <w:pStyle w:val="Corps"/>
      </w:pPr>
      <w:r>
        <w:t xml:space="preserve">Le prix est payable par [Mode de règlement] à la date [Date d'échéance calculée], selon [Modalités de calcul de l'échéance]. Le délai calculé est de [Délai de paiement calculé] jours et ne dépasse pas le plafond officiel de [Délai supplétif maximal] jours. Le calcul appliqué est documenté par [Justificatif de l'échéance].</w:t>
      </w:r>
    </w:p>
    <w:p>
      <w:pPr>
        <w:pStyle w:val="Variante"/>
      </w:pPr>
      <w:r>
        <w:t xml:space="preserve">Variante : Paiement à quarante-cinq jours fin de mois</w:t>
      </w:r>
    </w:p>
    <w:p>
      <w:pPr>
        <w:pStyle w:val="Corps"/>
      </w:pPr>
      <w:r>
        <w:t xml:space="preserve">Le prix est payable par [Mode de règlement] à la date [Date d'échéance calculée], selon [Modalités de calcul de l'échéance]. La méthode convenue applique un décalage de [Décalage fin de mois calculé] jours avant la fin de mois, dans la limite officielle de [Décalage maximal fin de mois] jours. Le calcul appliqué est documenté par [Justificatif de l'échéance].</w:t>
      </w:r>
    </w:p>
    <w:p>
      <w:pPr>
        <w:pStyle w:val="Variante"/>
      </w:pPr>
      <w:r>
        <w:t xml:space="preserve">Variante : Paiement à soixante jours</w:t>
      </w:r>
    </w:p>
    <w:p>
      <w:pPr>
        <w:pStyle w:val="Corps"/>
      </w:pPr>
      <w:r>
        <w:t xml:space="preserve">Le prix est payable par [Mode de règlement] à la date [Date d'échéance calculée], selon [Modalités de calcul de l'échéance]. Le délai calculé depuis l'émission de la facture est de [Délai de paiement calculé] jours et ne dépasse pas le plafond officiel de [Délai convenu maximal] jours. Le calcul appliqué est documenté par [Justificatif de l'échéance].</w:t>
      </w:r>
    </w:p>
    <w:p>
      <w:pPr>
        <w:pStyle w:val="Intertitre"/>
      </w:pPr>
      <w:r>
        <w:t xml:space="preserve">Retard de paiement</w:t>
      </w:r>
    </w:p>
    <w:p>
      <w:pPr>
        <w:pStyle w:val="Corps"/>
      </w:pPr>
      <w:r>
        <w:t xml:space="preserve">Toute somme impayée à l'échéance porte, sans rappel préalable, des pénalités au taux de [Taux des pénalités de retard] %. Ce taux représente [Multiplicateur retenu pour les pénalités] fois le taux d'intérêt légal et respecte le minimum officiel de [Multiplicateur minimal des pénalités]. L'acheteur doit en outre l'indemnité forfaitaire officielle de [Indemnité forfaitaire de recouvrement], sans préjudice des frais supplémentaires justifiés. Le fondement et le calcul appliqués ressortent de [Justificatif des pénalités].</w:t>
      </w:r>
    </w:p>
    <w:p>
      <w:pPr>
        <w:pStyle w:val="Intertitre"/>
      </w:pPr>
      <w:r>
        <w:t xml:space="preserve">Contestations et compensation</w:t>
      </w:r>
    </w:p>
    <w:p>
      <w:pPr>
        <w:pStyle w:val="Corps"/>
      </w:pPr>
      <w:r>
        <w:t xml:space="preserve">Une contestation motivée d'une facture ne suspend que la fraction sérieusement contestée. L'acheteur règle les sommes non contestées à l'échéance et ne pratique aucune déduction ou compensation unilatérale sans créance réciproque certaine, liquide et exigible ou accord écrit du vendeur.</w:t>
      </w:r>
    </w:p>
    <w:p>
      <w:pPr>
        <w:pStyle w:val="Intertitre"/>
      </w:pPr>
      <w:r>
        <w:t xml:space="preserve">Délais de livraison et d'exécution</w:t>
      </w:r>
    </w:p>
    <w:p>
      <w:pPr>
        <w:pStyle w:val="Corps"/>
      </w:pPr>
      <w:r>
        <w:t xml:space="preserve">Le délai applicable est [Délai de livraison ou d'exécution]. Son point de départ suppose la réception d'une commande complète et des informations nécessaires. Tout retard imputable à l'acheteur ou à une modification acceptée entraîne un ajustement documenté du calendrier.</w:t>
      </w:r>
    </w:p>
    <w:p>
      <w:pPr>
        <w:pStyle w:val="Intertitre"/>
      </w:pPr>
      <w:r>
        <w:t xml:space="preserve">Mode de délivrance — choisir une seule variante</w:t>
      </w:r>
    </w:p>
    <w:p>
      <w:pPr>
        <w:pStyle w:val="Variante"/>
      </w:pPr>
      <w:r>
        <w:t xml:space="preserve">Variante : Mise à disposition dans les locaux du vendeur</w:t>
      </w:r>
    </w:p>
    <w:p>
      <w:pPr>
        <w:pStyle w:val="Corps"/>
      </w:pPr>
      <w:r>
        <w:t xml:space="preserve">La délivrance intervient par mise à disposition des produits à [Lieu de livraison ou d'exécution]. Le vendeur informe l'acheteur de leur disponibilité; l'acheteur organise l'enlèvement dans les conditions prévues par la commande.</w:t>
      </w:r>
    </w:p>
    <w:p>
      <w:pPr>
        <w:pStyle w:val="Variante"/>
      </w:pPr>
      <w:r>
        <w:t xml:space="preserve">Variante : Expédition par transporteur</w:t>
      </w:r>
    </w:p>
    <w:p>
      <w:pPr>
        <w:pStyle w:val="Corps"/>
      </w:pPr>
      <w:r>
        <w:t xml:space="preserve">Les produits sont expédiés vers [Lieu de livraison ou d'exécution] selon [Modalités de transport]. Les parties identifient dans la commande qui choisit le transporteur, supporte les frais, accomplit les formalités et conserve les documents de transport.</w:t>
      </w:r>
    </w:p>
    <w:p>
      <w:pPr>
        <w:pStyle w:val="Variante"/>
      </w:pPr>
      <w:r>
        <w:t xml:space="preserve">Variante : Livraison sur le site de l'acheteur</w:t>
      </w:r>
    </w:p>
    <w:p>
      <w:pPr>
        <w:pStyle w:val="Corps"/>
      </w:pPr>
      <w:r>
        <w:t xml:space="preserve">Le vendeur réalise la délivrance à [Lieu de livraison ou d'exécution]. L'acheteur garantit l'accessibilité du site, la disponibilité des personnes habilitées à réceptionner et l'exécution des opérations qui lui incombent.</w:t>
      </w:r>
    </w:p>
    <w:p>
      <w:pPr>
        <w:pStyle w:val="Variante"/>
      </w:pPr>
      <w:r>
        <w:t xml:space="preserve">Variante : Mise à disposition numérique</w:t>
      </w:r>
    </w:p>
    <w:p>
      <w:pPr>
        <w:pStyle w:val="Corps"/>
      </w:pPr>
      <w:r>
        <w:t xml:space="preserve">La délivrance du service ou du livrable numérique intervient selon [Modalités de mise à disposition numérique]. Les journaux de mise à disposition et l'avis adressé à l'acheteur établissent la date à laquelle l'accès a été rendu possible.</w:t>
      </w:r>
    </w:p>
    <w:p>
      <w:pPr>
        <w:pStyle w:val="Intertitre"/>
      </w:pPr>
      <w:r>
        <w:t xml:space="preserve">Transfert des risques — choisir une seule variante</w:t>
      </w:r>
    </w:p>
    <w:p>
      <w:pPr>
        <w:pStyle w:val="Variante"/>
      </w:pPr>
      <w:r>
        <w:t xml:space="preserve">Variante : Risques lors de la mise à disposition</w:t>
      </w:r>
    </w:p>
    <w:p>
      <w:pPr>
        <w:pStyle w:val="Corps"/>
      </w:pPr>
      <w:r>
        <w:t xml:space="preserve">Les risques sont transférés lors de [Événement de transfert des risques], sans préjudice de l'obligation du vendeur de conserver les biens avec le soin requis jusqu'à la délivrance. La commande doit distinguer clairement ce transfert du transfert de propriété.</w:t>
      </w:r>
    </w:p>
    <w:p>
      <w:pPr>
        <w:pStyle w:val="Variante"/>
      </w:pPr>
      <w:r>
        <w:t xml:space="preserve">Variante : Risques pendant le transport</w:t>
      </w:r>
    </w:p>
    <w:p>
      <w:pPr>
        <w:pStyle w:val="Corps"/>
      </w:pPr>
      <w:r>
        <w:t xml:space="preserve">Le transfert des risques intervient lors de [Événement de transfert des risques]. La partie chargée de préserver les recours contre le transporteur accomplit les réserves et formalités nécessaires à partir des documents de transport disponibles.</w:t>
      </w:r>
    </w:p>
    <w:p>
      <w:pPr>
        <w:pStyle w:val="Variante"/>
      </w:pPr>
      <w:r>
        <w:t xml:space="preserve">Variante : Risques à la livraison sur site</w:t>
      </w:r>
    </w:p>
    <w:p>
      <w:pPr>
        <w:pStyle w:val="Corps"/>
      </w:pPr>
      <w:r>
        <w:t xml:space="preserve">Les risques passent à l'acheteur lors de [Événement de transfert des risques]. Jusqu'à cet événement, le vendeur supporte les risques de la chose et demeure tenu de la conserver dans les conditions contractuelles.</w:t>
      </w:r>
    </w:p>
    <w:p>
      <w:pPr>
        <w:pStyle w:val="Variante"/>
      </w:pPr>
      <w:r>
        <w:t xml:space="preserve">Variante : Risques liés à la mise à disposition numérique</w:t>
      </w:r>
    </w:p>
    <w:p>
      <w:pPr>
        <w:pStyle w:val="Corps"/>
      </w:pPr>
      <w:r>
        <w:t xml:space="preserve">La responsabilité de conservation bascule selon [Événement de transfert des risques]. L'acheteur protège ensuite ses identifiants, sauvegardes et environnements; le vendeur conserve les preuves techniques de la mise à disposition initiale.</w:t>
      </w:r>
    </w:p>
    <w:p>
      <w:pPr>
        <w:pStyle w:val="Intertitre"/>
      </w:pPr>
      <w:r>
        <w:t xml:space="preserve">Vérification et réserves</w:t>
      </w:r>
    </w:p>
    <w:p>
      <w:pPr>
        <w:pStyle w:val="Corps"/>
      </w:pPr>
      <w:r>
        <w:t xml:space="preserve">L'acheteur vérifie la quantité, l'état et la conformité apparente dans [Délai de vérification et de réclamation] et notifie toute réserve par [Canal des réserves et réclamations] avec les justificatifs utiles. Cette procédure ne prive pas l'acheteur des garanties légales qui demeurent applicables.</w:t>
      </w:r>
    </w:p>
    <w:p>
      <w:pPr>
        <w:pStyle w:val="Intertitre"/>
      </w:pPr>
      <w:r>
        <w:t xml:space="preserve">Clause optionnelle : Transfert de propriété</w:t>
      </w:r>
    </w:p>
    <w:p>
      <w:pPr>
        <w:pStyle w:val="Corps"/>
      </w:pPr>
      <w:r>
        <w:t xml:space="preserve">La propriété des biens est transférée lors de [Événement de transfert de propriété]. Ce transfert reste distinct du transfert des risques défini par la modalité de livraison et ne modifie pas les obligations de paiement de l'acheteur.</w:t>
      </w:r>
    </w:p>
    <w:p>
      <w:pPr>
        <w:pStyle w:val="Intertitre"/>
      </w:pPr>
      <w:r>
        <w:t xml:space="preserve">Clause optionnelle : Réserve de propriété</w:t>
      </w:r>
    </w:p>
    <w:p>
      <w:pPr>
        <w:pStyle w:val="Corps"/>
      </w:pPr>
      <w:r>
        <w:t xml:space="preserve">Le vendeur conserve la propriété des biens jusqu'au paiement complet de l'obligation garantie. L'acheteur identifie les biens, les conserve avec soin, ne constitue aucun droit incompatible et informe immédiatement le vendeur de toute saisie ou procédure susceptible de les affecter. Le transfert des risques demeure régi séparément par la clause de livraison. Le périmètre et l'identification des biens sont établis par [Justificatif de réserve de propriété].</w:t>
      </w:r>
    </w:p>
    <w:p>
      <w:pPr>
        <w:pStyle w:val="Intertitre"/>
      </w:pPr>
      <w:r>
        <w:t xml:space="preserve">Clause optionnelle : Absence de transfert de propriété pour les services</w:t>
      </w:r>
    </w:p>
    <w:p>
      <w:pPr>
        <w:pStyle w:val="Corps"/>
      </w:pPr>
      <w:r>
        <w:t xml:space="preserve">Lorsque la commande porte exclusivement sur des services, aucune clause de transfert ou de réserve de propriété sur des biens n'est appliquée ; les droits portant sur les livrables restent régis par les stipulations de propriété intellectuelle.</w:t>
      </w:r>
    </w:p>
    <w:p>
      <w:pPr>
        <w:pStyle w:val="Intertitre"/>
      </w:pPr>
      <w:r>
        <w:t xml:space="preserve">Garantie — choisir une seule variante</w:t>
      </w:r>
    </w:p>
    <w:p>
      <w:pPr>
        <w:pStyle w:val="Variante"/>
      </w:pPr>
      <w:r>
        <w:t xml:space="preserve">Variante : Conformité et garanties légales</w:t>
      </w:r>
    </w:p>
    <w:p>
      <w:pPr>
        <w:pStyle w:val="Corps"/>
      </w:pPr>
      <w:r>
        <w:t xml:space="preserve">Le vendeur délivre les produits et exécute les services conformément aux documents contractuels. La garantie couvre [Étendue de la garantie] et se met en œuvre selon [Procédure de mise en œuvre des garanties], sans exclure les garanties légales applicables à la vente professionnelle. Le périmètre et la procédure applicables ressortent de [Justificatif des garanties].</w:t>
      </w:r>
    </w:p>
    <w:p>
      <w:pPr>
        <w:pStyle w:val="Variante"/>
      </w:pPr>
      <w:r>
        <w:t xml:space="preserve">Variante : Garantie commerciale complémentaire</w:t>
      </w:r>
    </w:p>
    <w:p>
      <w:pPr>
        <w:pStyle w:val="Corps"/>
      </w:pPr>
      <w:r>
        <w:t xml:space="preserve">Outre les garanties légales applicables, le vendeur accorde une garantie commerciale pendant [Durée de la garantie commerciale] sur [Étendue de la garantie]. Sa mise en œuvre suit [Procédure de mise en œuvre des garanties] et ne réduit pas les droits résultant d'un défaut caché ou d'une délivrance non conforme. Le périmètre, la durée et les exclusions applicables ressortent de [Justificatif des garanties].</w:t>
      </w:r>
    </w:p>
    <w:p>
      <w:pPr>
        <w:pStyle w:val="Intertitre"/>
      </w:pPr>
      <w:r>
        <w:t xml:space="preserve">Obligations de l'acheteur</w:t>
      </w:r>
    </w:p>
    <w:p>
      <w:pPr>
        <w:pStyle w:val="Corps"/>
      </w:pPr>
      <w:r>
        <w:t xml:space="preserve">L'acheteur exécute les obligations suivantes : [Obligations de coopération de l'acheteur]. Il communique en temps utile les informations nécessaires, utilise les produits conformément à leur destination documentée et limite les conséquences de tout incident dont il a connaissance.</w:t>
      </w:r>
    </w:p>
    <w:p>
      <w:pPr>
        <w:pStyle w:val="Intertitre"/>
      </w:pPr>
      <w:r>
        <w:t xml:space="preserve">Clause optionnelle : Pénalités logistiques</w:t>
      </w:r>
    </w:p>
    <w:p>
      <w:pPr>
        <w:pStyle w:val="Corps"/>
      </w:pPr>
      <w:r>
        <w:t xml:space="preserve">Toute pénalité logistique doit respecter [Régime des pénalités logistiques]. Elle suppose un manquement imputable, une preuve du préjudice, une information préalable du vendeur et une méthode de calcul proportionnée; aucune déduction automatique ne peut intervenir sans examen contradictoire.</w:t>
      </w:r>
    </w:p>
    <w:p>
      <w:pPr>
        <w:pStyle w:val="Intertitre"/>
      </w:pPr>
      <w:r>
        <w:t xml:space="preserve">Propriété intellectuelle</w:t>
      </w:r>
    </w:p>
    <w:p>
      <w:pPr>
        <w:pStyle w:val="Corps"/>
      </w:pPr>
      <w:r>
        <w:t xml:space="preserve">Les marques, catalogues, plans, études, logiciels, méthodes et documents demeurent soumis à [Droits de propriété intellectuelle]. La vente d'un produit ou d'un service n'emporte aucune cession implicite; tout droit d'usage supplémentaire doit être décrit dans un écrit distinct.</w:t>
      </w:r>
    </w:p>
    <w:p>
      <w:pPr>
        <w:pStyle w:val="Intertitre"/>
      </w:pPr>
      <w:r>
        <w:t xml:space="preserve">Clause optionnelle : Confidentialité</w:t>
      </w:r>
    </w:p>
    <w:p>
      <w:pPr>
        <w:pStyle w:val="Corps"/>
      </w:pPr>
      <w:r>
        <w:t xml:space="preserve">Chaque partie protège [Informations confidentielles protégées], limite leur accès aux personnes qui doivent en connaître et les utilise pour l'exécution de la relation commerciale. Cette obligation demeure applicable pendant [Durée de confidentialité], sous réserve des divulgations imposées par la loi ou une autorité compétente.</w:t>
      </w:r>
    </w:p>
    <w:p>
      <w:pPr>
        <w:pStyle w:val="Intertitre"/>
      </w:pPr>
      <w:r>
        <w:t xml:space="preserve">Clause optionnelle : Données personnelles</w:t>
      </w:r>
    </w:p>
    <w:p>
      <w:pPr>
        <w:pStyle w:val="Corps"/>
      </w:pPr>
      <w:r>
        <w:t xml:space="preserve">Les traitements accessoires à la gestion des commandes, livraisons, factures et contacts sont organisés selon [Cadre de traitement des données personnelles]. Si une partie traite des données pour le compte de l'autre, les parties concluent avant le traitement l'accord distinct exigé par leurs rôles réels. La qualification des rôles et traitements est : [Justificatif des traitements de données].</w:t>
      </w:r>
    </w:p>
    <w:p>
      <w:pPr>
        <w:pStyle w:val="Intertitre"/>
      </w:pPr>
      <w:r>
        <w:t xml:space="preserve">Force majeure</w:t>
      </w:r>
    </w:p>
    <w:p>
      <w:pPr>
        <w:pStyle w:val="Corps"/>
      </w:pPr>
      <w:r>
        <w:t xml:space="preserve">La partie empêchée par un événement répondant aux critères légaux le notifie selon [Notification d'un cas de force majeure], en justifie les effets et prend les mesures appropriées pour les limiter. L'exécution est suspendue pendant l'empêchement temporaire; un empêchement définitif produit les effets prévus par le droit applicable.</w:t>
      </w:r>
    </w:p>
    <w:p>
      <w:pPr>
        <w:pStyle w:val="Intertitre"/>
      </w:pPr>
      <w:r>
        <w:t xml:space="preserve">Imprévision — choisir une seule variante</w:t>
      </w:r>
    </w:p>
    <w:p>
      <w:pPr>
        <w:pStyle w:val="Variante"/>
      </w:pPr>
      <w:r>
        <w:t xml:space="preserve">Variante : Imprévision et renégociation</w:t>
      </w:r>
    </w:p>
    <w:p>
      <w:pPr>
        <w:pStyle w:val="Corps"/>
      </w:pPr>
      <w:r>
        <w:t xml:space="preserve">En cas de changement de circonstances imprévisible rendant l'exécution excessivement onéreuse pour une partie qui n'en avait pas assumé le risque, la procédure [Procédure d'imprévision] s'applique. La partie concernée poursuit l'exécution pendant la renégociation, sauf accord contraire.</w:t>
      </w:r>
    </w:p>
    <w:p>
      <w:pPr>
        <w:pStyle w:val="Variante"/>
      </w:pPr>
      <w:r>
        <w:t xml:space="preserve">Variante : Répartition contractuelle du risque économique</w:t>
      </w:r>
    </w:p>
    <w:p>
      <w:pPr>
        <w:pStyle w:val="Corps"/>
      </w:pPr>
      <w:r>
        <w:t xml:space="preserve">Les parties déclarent assumer le risque des évolutions économiques ordinaires dans le périmètre défini par [Procédure d'imprévision]. Cette allocation ne couvre pas un événement qualifié de force majeure et ne dispense pas les parties d'exécuter de bonne foi leurs obligations ni d'appliquer les mécanismes de prix convenus.</w:t>
      </w:r>
    </w:p>
    <w:p>
      <w:pPr>
        <w:pStyle w:val="Intertitre"/>
      </w:pPr>
      <w:r>
        <w:t xml:space="preserve">Principes de responsabilité</w:t>
      </w:r>
    </w:p>
    <w:p>
      <w:pPr>
        <w:pStyle w:val="Corps"/>
      </w:pPr>
      <w:r>
        <w:t xml:space="preserve">Chaque partie répond des dommages directs résultant d'une inexécution qui lui est imputable. Les exclusions suivantes sont appréciées selon leur validité et les circonstances : [Préjudices exclus et exceptions]. Aucune limitation ne couvre une faute lourde, un dol ou une responsabilité qui ne peut légalement être limitée.</w:t>
      </w:r>
    </w:p>
    <w:p>
      <w:pPr>
        <w:pStyle w:val="Intertitre"/>
      </w:pPr>
      <w:r>
        <w:t xml:space="preserve">Plafond de responsabilité — choisir une seule variante</w:t>
      </w:r>
    </w:p>
    <w:p>
      <w:pPr>
        <w:pStyle w:val="Variante"/>
      </w:pPr>
      <w:r>
        <w:t xml:space="preserve">Variante : Absence de plafond contractuel général</w:t>
      </w:r>
    </w:p>
    <w:p>
      <w:pPr>
        <w:pStyle w:val="Corps"/>
      </w:pPr>
      <w:r>
        <w:t xml:space="preserve">Aucun plafond général n'est stipulé. La réparation demeure soumise aux conditions du droit applicable, notamment au caractère direct, certain et imputable du dommage, ainsi qu'aux exclusions valablement convenues.</w:t>
      </w:r>
    </w:p>
    <w:p>
      <w:pPr>
        <w:pStyle w:val="Variante"/>
      </w:pPr>
      <w:r>
        <w:t xml:space="preserve">Variante : Plafond fondé sur la commande</w:t>
      </w:r>
    </w:p>
    <w:p>
      <w:pPr>
        <w:pStyle w:val="Corps"/>
      </w:pPr>
      <w:r>
        <w:t xml:space="preserve">Sous réserve des exceptions prévues, la responsabilité cumulée du vendeur est limitée selon [Assiette du plafond de responsabilité] pour la commande à l'origine du dommage. Le calcul doit identifier sans ambiguïté les sommes effectivement prises en compte et la période concernée.</w:t>
      </w:r>
    </w:p>
    <w:p>
      <w:pPr>
        <w:pStyle w:val="Variante"/>
      </w:pPr>
      <w:r>
        <w:t xml:space="preserve">Variante : Plafond fondé sur une période annuelle</w:t>
      </w:r>
    </w:p>
    <w:p>
      <w:pPr>
        <w:pStyle w:val="Corps"/>
      </w:pPr>
      <w:r>
        <w:t xml:space="preserve">Sous réserve des exceptions prévues, la responsabilité cumulée du vendeur est limitée selon [Assiette du plafond de responsabilité] sur la période annuelle de référence. La période, les commandes incluses et le traitement des sinistres successifs doivent être déterminables.</w:t>
      </w:r>
    </w:p>
    <w:p>
      <w:pPr>
        <w:pStyle w:val="Variante"/>
      </w:pPr>
      <w:r>
        <w:t xml:space="preserve">Variante : Plafond contractuel fixe</w:t>
      </w:r>
    </w:p>
    <w:p>
      <w:pPr>
        <w:pStyle w:val="Corps"/>
      </w:pPr>
      <w:r>
        <w:t xml:space="preserve">Sous réserve des exceptions prévues, la responsabilité cumulée du vendeur est limitée selon [Assiette du plafond de responsabilité]. Le montant et son périmètre doivent être expressément acceptés et rester proportionnés aux obligations effectivement assumées.</w:t>
      </w:r>
    </w:p>
    <w:p>
      <w:pPr>
        <w:pStyle w:val="Intertitre"/>
      </w:pPr>
      <w:r>
        <w:t xml:space="preserve">Assurances</w:t>
      </w:r>
    </w:p>
    <w:p>
      <w:pPr>
        <w:pStyle w:val="Corps"/>
      </w:pPr>
      <w:r>
        <w:t xml:space="preserve">Le vendeur maintient les assurances décrites dans [Assurances professionnelles] pendant la durée d'exécution des commandes concernées. Une attestation en cours de validité est communiquée sur demande raisonnable sans que l'assurance n'étende les responsabilités contractuelles.</w:t>
      </w:r>
    </w:p>
    <w:p>
      <w:pPr>
        <w:pStyle w:val="Intertitre"/>
      </w:pPr>
      <w:r>
        <w:t xml:space="preserve">Suspension</w:t>
      </w:r>
    </w:p>
    <w:p>
      <w:pPr>
        <w:pStyle w:val="Corps"/>
      </w:pPr>
      <w:r>
        <w:t xml:space="preserve">En cas d'impayé ou de manquement compromettant l'exécution, le vendeur peut suspendre les obligations directement affectées après notification permettant à l'acheteur d'identifier le manquement et, lorsque la situation le permet, d'y remédier. La suspension demeure proportionnée au risque constaté.</w:t>
      </w:r>
    </w:p>
    <w:p>
      <w:pPr>
        <w:pStyle w:val="Intertitre"/>
      </w:pPr>
      <w:r>
        <w:t xml:space="preserve">Résolution pour inexécution</w:t>
      </w:r>
    </w:p>
    <w:p>
      <w:pPr>
        <w:pStyle w:val="Corps"/>
      </w:pPr>
      <w:r>
        <w:t xml:space="preserve">Les manquements visés par la clause résolutoire sont [Manquements ouvrant droit à résolution]. La résolution intervient après une mise en demeure mentionnant expressément la présente clause et demeurée sans effet pendant [Délai de remède], sauf inexécution définitive ou stipulation valable autorisant un effet immédiat.</w:t>
      </w:r>
    </w:p>
    <w:p>
      <w:pPr>
        <w:pStyle w:val="Intertitre"/>
      </w:pPr>
      <w:r>
        <w:t xml:space="preserve">Fin d'une relation commerciale établie</w:t>
      </w:r>
    </w:p>
    <w:p>
      <w:pPr>
        <w:pStyle w:val="Corps"/>
      </w:pPr>
      <w:r>
        <w:t xml:space="preserve">Lorsque les commandes s'inscrivent dans une relation commerciale établie, toute rupture non fondée sur une inexécution grave ou un cas de force majeure fait l'objet d'un préavis écrit déterminé selon [Préavis de fin de relation établie], l'ancienneté et les circonstances concrètes de la relation.</w:t>
      </w:r>
    </w:p>
    <w:p>
      <w:pPr>
        <w:pStyle w:val="Intertitre"/>
      </w:pPr>
      <w:r>
        <w:t xml:space="preserve">Notifications</w:t>
      </w:r>
    </w:p>
    <w:p>
      <w:pPr>
        <w:pStyle w:val="Corps"/>
      </w:pPr>
      <w:r>
        <w:t xml:space="preserve">Les notifications contractuelles sont adressées à [Coordonnées de notification] par un moyen permettant d'établir leur contenu, leur date et leur réception. Chaque partie signale sans délai toute modification de ses coordonnées opposables.</w:t>
      </w:r>
    </w:p>
    <w:p>
      <w:pPr>
        <w:pStyle w:val="Intertitre"/>
      </w:pPr>
      <w:r>
        <w:t xml:space="preserve">Échanges et preuve électroniques</w:t>
      </w:r>
    </w:p>
    <w:p>
      <w:pPr>
        <w:pStyle w:val="Corps"/>
      </w:pPr>
      <w:r>
        <w:t xml:space="preserve">Les commandes, confirmations, factures et notifications électroniques peuvent être établies au moyen de [Système de preuve électronique]. Leur force probante suppose que l'auteur puisse être identifié et que le contenu soit conservé dans des conditions garantissant son intégrité.</w:t>
      </w:r>
    </w:p>
    <w:p>
      <w:pPr>
        <w:pStyle w:val="Intertitre"/>
      </w:pPr>
      <w:r>
        <w:t xml:space="preserve">Cession et sous-traitance</w:t>
      </w:r>
    </w:p>
    <w:p>
      <w:pPr>
        <w:pStyle w:val="Corps"/>
      </w:pPr>
      <w:r>
        <w:t xml:space="preserve">La cession d'une commande, la transmission des obligations ou le recours à un sous-traitant sont soumis à [Conditions de cession et de sous-traitance]. La partie qui recourt à un tiers demeure tenue des obligations qu'elle a assumées, sauf accord exprès contraire.</w:t>
      </w:r>
    </w:p>
    <w:p>
      <w:pPr>
        <w:pStyle w:val="Intertitre"/>
      </w:pPr>
      <w:r>
        <w:t xml:space="preserve">Droit applicable</w:t>
      </w:r>
    </w:p>
    <w:p>
      <w:pPr>
        <w:pStyle w:val="Corps"/>
      </w:pPr>
      <w:r>
        <w:t xml:space="preserve">Les présentes CGV et les commandes qu'elles régissent sont soumises à [Droit applicable], sous réserve des règles impératives éventuellement applicables à une opération internationale.</w:t>
      </w:r>
    </w:p>
    <w:p>
      <w:pPr>
        <w:pStyle w:val="Intertitre"/>
      </w:pPr>
      <w:r>
        <w:t xml:space="preserve">Compétence juridictionnelle — choisir une seule variante</w:t>
      </w:r>
    </w:p>
    <w:p>
      <w:pPr>
        <w:pStyle w:val="Variante"/>
      </w:pPr>
      <w:r>
        <w:t xml:space="preserve">Variante : Juridiction compétente selon les règles applicables</w:t>
      </w:r>
    </w:p>
    <w:p>
      <w:pPr>
        <w:pStyle w:val="Corps"/>
      </w:pPr>
      <w:r>
        <w:t xml:space="preserve">À défaut d'accord amiable, le différend relève de la juridiction déterminée par les règles de compétence applicables. Cette stipulation n'emporte aucune dérogation territoriale particulière.</w:t>
      </w:r>
    </w:p>
    <w:p>
      <w:pPr>
        <w:pStyle w:val="Variante"/>
      </w:pPr>
      <w:r>
        <w:t xml:space="preserve">Variante : Clause attributive entre commerçants</w:t>
      </w:r>
    </w:p>
    <w:p>
      <w:pPr>
        <w:pStyle w:val="Corps"/>
      </w:pPr>
      <w:r>
        <w:t xml:space="preserve">Les parties contractent toutes en qualité de commerçant, ainsi qu'il résulte de [Preuve de la qualité de commerçant] et du contrôle [Justificatif de qualité de commerçant]. Tout différend est attribué de manière exclusive à [Juridiction désignée]. Cette stipulation doit être spécifiée de façon très apparente dans l'engagement de la partie à laquelle elle est opposée.</w:t>
      </w:r>
    </w:p>
    <w:p>
      <w:pPr>
        <w:pStyle w:val="Intertitre"/>
      </w:pPr>
      <w:r>
        <w:t xml:space="preserve">Divisibilité et non-renonciation</w:t>
      </w:r>
    </w:p>
    <w:p>
      <w:pPr>
        <w:pStyle w:val="Corps"/>
      </w:pPr>
      <w:r>
        <w:t xml:space="preserve">L'inefficacité d'une stipulation n'affecte pas les autres clauses lorsque l'économie de la relation peut être maintenue. Le fait de ne pas exercer immédiatement un droit ne vaut pas renonciation à l'exercer ultérieurement.</w:t>
      </w:r>
    </w:p>
    <w:p>
      <w:pPr>
        <w:pStyle w:val="Intertitre"/>
      </w:pPr>
      <w:r>
        <w:t xml:space="preserve">Publication et approbation</w:t>
      </w:r>
    </w:p>
    <w:p>
      <w:pPr>
        <w:pStyle w:val="Corps"/>
      </w:pPr>
      <w:r>
        <w:t xml:space="preserve">Les présentes CGV sont approuvées selon [Approbation interne des CGV] et publiées sous la version [Version des CGV]. Les coordonnées opposables du vendeur sont [Coordonnées contractuelles du vendeur]. Le vendeur conserve chaque version et la preuve de celle communiquée à chaque acheteur.</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