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CONTRAT D'AGENT COMMERCIAL</w:t>
      </w:r>
    </w:p>
    <w:p>
      <w:pPr>
        <w:pStyle w:val="Intertitre"/>
      </w:pPr>
      <w:r>
        <w:t xml:space="preserve">Le Mandant</w:t>
      </w:r>
    </w:p>
    <w:p>
      <w:pPr>
        <w:pStyle w:val="Corps"/>
      </w:pPr>
      <w:r>
        <w:t xml:space="preserve">Le présent contrat est conclu avec [Identité du Mandant], représenté par [Représentant du Mandant], ci-après le Mandant. Le Mandant déclare exercer l'activité correspondant aux opérations confiées et communique les éléments permettant d'identifier son siège, son immatriculation et son représentant. Toute modification de sa situation ou de ses pouvoirs susceptible d'affecter le mandat est portée sans délai à la connaissance de l'Agent.</w:t>
      </w:r>
    </w:p>
    <w:p>
      <w:pPr>
        <w:pStyle w:val="Intertitre"/>
      </w:pPr>
      <w:r>
        <w:t xml:space="preserve">Forme de l'Agent — choisir une seule variante</w:t>
      </w:r>
    </w:p>
    <w:p>
      <w:pPr>
        <w:pStyle w:val="Variante"/>
      </w:pPr>
      <w:r>
        <w:t xml:space="preserve">Variante : L'Agent personne physique</w:t>
      </w:r>
    </w:p>
    <w:p>
      <w:pPr>
        <w:pStyle w:val="Corps"/>
      </w:pPr>
      <w:r>
        <w:t xml:space="preserve">L'autre Partie est [Identité de l'Agent personne physique], agissant en qualité d'Agent commercial indépendant, ci-après l'Agent. L'Agent agit en son nom propre, sans société interposée, et communique les éléments établissant son identité professionnelle, son adresse d'activité et son immatriculation au registre spécial. Il informe le Mandant de toute cessation, suspension ou modification affectant son aptitude à exercer le mandat.</w:t>
      </w:r>
    </w:p>
    <w:p>
      <w:pPr>
        <w:pStyle w:val="Variante"/>
      </w:pPr>
      <w:r>
        <w:t xml:space="preserve">Variante : L'Agent personne morale</w:t>
      </w:r>
    </w:p>
    <w:p>
      <w:pPr>
        <w:pStyle w:val="Corps"/>
      </w:pPr>
      <w:r>
        <w:t xml:space="preserve">L'autre Partie est [Identité de l'Agent personne morale], représentée par [Représentant de l'Agent], ci-après l'Agent. La personne morale Agent communique sa forme, son siège, son immatriculation et l'identité de son représentant habilité. Elle demeure seule titulaire du mandat et responsable des personnes qu'elle mobilise. Tout changement de contrôle, de représentation ou de statut susceptible d'affecter l'exécution est signalé au Mandant.</w:t>
      </w:r>
    </w:p>
    <w:p>
      <w:pPr>
        <w:pStyle w:val="Intertitre"/>
      </w:pPr>
      <w:r>
        <w:t xml:space="preserve">Clause optionnelle : Pouvoirs</w:t>
      </w:r>
    </w:p>
    <w:p>
      <w:pPr>
        <w:pStyle w:val="Corps"/>
      </w:pPr>
      <w:r>
        <w:t xml:space="preserve">Le signataire du Mandant justifie de [Pouvoirs du signataire du Mandant]. Le signataire de l'Agent, lorsqu'un représentant intervient, justifie de [Pouvoirs du signataire de l'Agent]. L'Agent produit [Justificatif d'immatriculation] et informe le Mandant de toute modification affectant son statut. Les justificatifs sont vérifiés avant toute signature et conservés avec le contrat. La production d'un extrait ou d'un mandat ne dispense pas de contrôler son actualité, son périmètre et les éventuelles limitations opposables. Aucun pouvoir ne peut être déduit d'un intitulé de fonction ou d'une valeur de démonstration.</w:t>
      </w:r>
    </w:p>
    <w:p>
      <w:pPr>
        <w:pStyle w:val="Intertitre"/>
      </w:pPr>
      <w:r>
        <w:t xml:space="preserve">Statut indépendant</w:t>
      </w:r>
    </w:p>
    <w:p>
      <w:pPr>
        <w:pStyle w:val="Corps"/>
      </w:pPr>
      <w:r>
        <w:t xml:space="preserve">L'Agent exerce à titre professionnel indépendant, organise librement son activité et supporte ses charges. Le contrat ne confère au Mandant aucun pouvoir de direction relevant d'un lien de subordination et doit être exécuté conformément à sa réalité opérationnelle. L'Agent détermine ses horaires, son organisation, ses méthodes de prospection et le choix de ses moyens, sous réserve des obligations de coordination et de loyauté. Il ne reçoit aucune instruction assimilable à un contrôle hiérarchique. Les parties réexaminent leur fonctionnement si les conditions réelles d'exécution s'écartent de cette indépendance.</w:t>
      </w:r>
    </w:p>
    <w:p>
      <w:pPr>
        <w:pStyle w:val="Intertitre"/>
      </w:pPr>
      <w:r>
        <w:t xml:space="preserve">Mandat permanent</w:t>
      </w:r>
    </w:p>
    <w:p>
      <w:pPr>
        <w:pStyle w:val="Corps"/>
      </w:pPr>
      <w:r>
        <w:t xml:space="preserve">Le Mandant confie de façon permanente à l'Agent la négociation des affaires portant sur [Produits ou services représentés] dans les limites du territoire et de la clientèle ci-après. Le caractère permanent porte sur la mission de négociation et non sur une garantie de volume d'affaires. Le mandat n'autorise aucune opération étrangère au périmètre défini. Les retraits, ajouts ou transformations significatives de produits ou services sont documentés avant leur application et leurs incidences commerciales sont examinées de bonne foi.</w:t>
      </w:r>
    </w:p>
    <w:p>
      <w:pPr>
        <w:pStyle w:val="Intertitre"/>
      </w:pPr>
      <w:r>
        <w:t xml:space="preserve">Pouvoir de l'Agent — choisir une seule variante</w:t>
      </w:r>
    </w:p>
    <w:p>
      <w:pPr>
        <w:pStyle w:val="Variante"/>
      </w:pPr>
      <w:r>
        <w:t xml:space="preserve">Variante : Négociation sans pouvoir de conclure</w:t>
      </w:r>
    </w:p>
    <w:p>
      <w:pPr>
        <w:pStyle w:val="Corps"/>
      </w:pPr>
      <w:r>
        <w:t xml:space="preserve">L'Agent recherche et négocie les affaires dans [Limites de négociation] mais ne peut conclure un contrat, accepter une commande, consentir une garantie ou engager le Mandant. Toute affaire reste soumise à l'acceptation du Mandant. L'Agent présente clairement aux prospects l'absence de pouvoir de conclure. Il ne signe aucun bon, n'accepte aucune commande et ne formule aucune promesse au nom du Mandant. Les propositions transmises restent sans engagement jusqu'à leur acceptation régulière, dont la preuve est conservée avec le dossier de l'affaire.</w:t>
      </w:r>
    </w:p>
    <w:p>
      <w:pPr>
        <w:pStyle w:val="Variante"/>
      </w:pPr>
      <w:r>
        <w:t xml:space="preserve">Variante : Négociation et conclusion</w:t>
      </w:r>
    </w:p>
    <w:p>
      <w:pPr>
        <w:pStyle w:val="Corps"/>
      </w:pPr>
      <w:r>
        <w:t xml:space="preserve">L'Agent peut négocier et conclure au nom du Mandant dans les seules limites [Pouvoir de conclure] et [Limites de négociation]. Tout dépassement exige une autorisation écrite préalable. Le pouvoir de conclure ne comprend que les opérations, seuils, conditions et documents expressément autorisés. L'Agent vérifie l'identité du cocontractant et respecte les contrôles applicables avant engagement. Tout acte dépassant les limites convenues est soumis à une autorisation spécifique dont la date, l'auteur et le périmètre sont traçables.</w:t>
      </w:r>
    </w:p>
    <w:p>
      <w:pPr>
        <w:pStyle w:val="Intertitre"/>
      </w:pPr>
      <w:r>
        <w:t xml:space="preserve">Exclusivité — choisir une seule variante</w:t>
      </w:r>
    </w:p>
    <w:p>
      <w:pPr>
        <w:pStyle w:val="Variante"/>
      </w:pPr>
      <w:r>
        <w:t xml:space="preserve">Variante : Territoire ou clientèle exclusifs</w:t>
      </w:r>
    </w:p>
    <w:p>
      <w:pPr>
        <w:pStyle w:val="Corps"/>
      </w:pPr>
      <w:r>
        <w:t xml:space="preserve">Le secteur exclusif est [Territoire] et la clientèle confiée [Clientèle confiée]. Sous réserve des comptes réservés et canaux expressément identifiés, les commissions dues sur les affaires de ce secteur suivent le régime applicable. Le périmètre est interprété strictement à partir des pays, zones, canaux et catégories de clientèle identifiés. Le Mandant informe l'Agent des opérations directes entrant dans ce secteur afin de permettre le calcul des commissions. L'exclusivité ne s'étend pas à un compte, canal ou produit expressément exclu.</w:t>
      </w:r>
    </w:p>
    <w:p>
      <w:pPr>
        <w:pStyle w:val="Variante"/>
      </w:pPr>
      <w:r>
        <w:t xml:space="preserve">Variante : Territoire non exclusif</w:t>
      </w:r>
    </w:p>
    <w:p>
      <w:pPr>
        <w:pStyle w:val="Corps"/>
      </w:pPr>
      <w:r>
        <w:t xml:space="preserve">L'Agent intervient sur [Territoire] auprès de [Clientèle confiée] sans exclusivité. Le Mandant peut y agir ou nommer d'autres intermédiaires; la commission de l'Agent dépend de son intervention et des règles d'attribution prévues. L'Agent ne peut se présenter comme représentant exclusif ni empêcher l'intervention d'autres canaux. L'attribution d'une affaire repose sur des critères objectifs et des éléments datés permettant d'identifier son intervention. La seule présence d'un client dans le territoire ne crée pas un droit à commission hors les cas prévus par le régime applicable.</w:t>
      </w:r>
    </w:p>
    <w:p>
      <w:pPr>
        <w:pStyle w:val="Intertitre"/>
      </w:pPr>
      <w:r>
        <w:t xml:space="preserve">Clause optionnelle : Comptes réservés</w:t>
      </w:r>
    </w:p>
    <w:p>
      <w:pPr>
        <w:pStyle w:val="Corps"/>
      </w:pPr>
      <w:r>
        <w:t xml:space="preserve">Les comptes réservés au Mandant sont [Comptes réservés]. Toute modification est notifiée de façon prospective et ne prive pas l'Agent d'une commission déjà acquise ou liée à son intervention antérieure. La liste comporte des identifiants suffisamment précis pour éviter toute confusion entre sociétés d'un même groupe ou établissements distincts. Le Mandant communique les changements avant leur prise d'effet. Une modification ne peut être utilisée pour retirer rétroactivement une affaire apportée ou négociée par l'Agent.</w:t>
      </w:r>
    </w:p>
    <w:p>
      <w:pPr>
        <w:pStyle w:val="Intertitre"/>
      </w:pPr>
      <w:r>
        <w:t xml:space="preserve">Clause optionnelle : Ventes en ligne</w:t>
      </w:r>
    </w:p>
    <w:p>
      <w:pPr>
        <w:pStyle w:val="Corps"/>
      </w:pPr>
      <w:r>
        <w:t xml:space="preserve">Les ventes en ligne sont attribuées selon [Ventes en ligne] en tenant compte du territoire, du groupe de clients, de l'origine documentée de l'affaire et du rôle de l'Agent. La politique précise le traitement des contacts numériques, des commandes initiées hors ligne, des renouvellements et des ventes réalisées par une entité liée. Les données d'attribution sont conservées pendant la durée utile au contrôle des commissions. Toute règle automatisée reste vérifiable et ne neutralise pas les droits attachés à un secteur exclusif.</w:t>
      </w:r>
    </w:p>
    <w:p>
      <w:pPr>
        <w:pStyle w:val="Intertitre"/>
      </w:pPr>
      <w:r>
        <w:t xml:space="preserve">Produits et services</w:t>
      </w:r>
    </w:p>
    <w:p>
      <w:pPr>
        <w:pStyle w:val="Corps"/>
      </w:pPr>
      <w:r>
        <w:t xml:space="preserve">Le mandat couvre exclusivement [Produits ou services représentés]. Toute nouvelle gamme, retrait ou modification substantielle est notifié et fait l'objet d'une analyse de ses effets sur le mandat et la rémunération. Les références, versions, marchés et usages couverts sont identifiés de façon à distinguer le périmètre confié des offres voisines. Le Mandant transmet en temps utile les informations relatives aux retraits, indisponibilités et changements de conformité. L'Agent cesse de proposer une offre retirée dès réception d'une instruction justifiée.</w:t>
      </w:r>
    </w:p>
    <w:p>
      <w:pPr>
        <w:pStyle w:val="Intertitre"/>
      </w:pPr>
      <w:r>
        <w:t xml:space="preserve">Prix et conditions</w:t>
      </w:r>
    </w:p>
    <w:p>
      <w:pPr>
        <w:pStyle w:val="Corps"/>
      </w:pPr>
      <w:r>
        <w:t xml:space="preserve">L'Agent respecte [Politique de prix] et n'accorde aucune remise, délai ou condition hors de ses pouvoirs. Il présente fidèlement les conditions approuvées et signale toute difficulté concurrentielle. La politique applicable est datée et distingue les prix, remises autorisées, conditions de crédit et validations requises. L'Agent ne modifie pas les conditions générales du Mandant. Il documente les demandes dérogatoires du prospect et attend une décision habilitée avant de les présenter comme acceptées.</w:t>
      </w:r>
    </w:p>
    <w:p>
      <w:pPr>
        <w:pStyle w:val="Intertitre"/>
      </w:pPr>
      <w:r>
        <w:t xml:space="preserve">Transmission des commandes</w:t>
      </w:r>
    </w:p>
    <w:p>
      <w:pPr>
        <w:pStyle w:val="Corps"/>
      </w:pPr>
      <w:r>
        <w:t xml:space="preserve">Les affaires sont transmises selon [Transmission des commandes] avec les informations nécessaires à leur traitement. L'Agent ne promet ni disponibilité, ni délai, ni crédit non confirmé par le Mandant. Chaque dossier permet d'identifier le prospect, l'offre, le prix, les conditions demandées, l'origine de l'affaire et les échanges utiles. L'Agent signale les informations incomplètes ou atypiques. La transmission d'une commande ne vaut ni acceptation par le Mandant ni garantie de solvabilité du client.</w:t>
      </w:r>
    </w:p>
    <w:p>
      <w:pPr>
        <w:pStyle w:val="Intertitre"/>
      </w:pPr>
      <w:r>
        <w:t xml:space="preserve">Acceptation par le Mandant</w:t>
      </w:r>
    </w:p>
    <w:p>
      <w:pPr>
        <w:pStyle w:val="Corps"/>
      </w:pPr>
      <w:r>
        <w:t xml:space="preserve">Le Mandant examine les affaires selon [Acceptation des affaires par le mandant] et informe l'Agent de l'acceptation, du refus ou des réserves. Il exerce cette faculté de bonne foi et ne détourne pas une affaire afin d'éluder une commission. Le processus précise l'autorité compétente, les contrôles et le mode de notification de la décision. Un refus est fondé sur des motifs commerciaux légitimes et ne peut servir à détourner une opération au détriment de l'Agent. Les réserves et modifications substantielles sont communiquées afin que l'Agent puisse en informer le prospect sans ambiguïté.</w:t>
      </w:r>
    </w:p>
    <w:p>
      <w:pPr>
        <w:pStyle w:val="Intertitre"/>
      </w:pPr>
      <w:r>
        <w:t xml:space="preserve">Objectifs commerciaux</w:t>
      </w:r>
    </w:p>
    <w:p>
      <w:pPr>
        <w:pStyle w:val="Corps"/>
      </w:pPr>
      <w:r>
        <w:t xml:space="preserve">Les objectifs sont [Objectifs commerciaux]. Leur caractère contraignant, leurs conditions de mesure et les conséquences d'un écart doivent être expressément précisés; un objectif non atteint ne caractérise pas à lui seul une faute grave. Les objectifs indiquent leur période, leur unité de mesure, les données de référence et les événements permettant leur révision. Le Mandant communique les résultats de manière vérifiable. Une conséquence défavorable n'est appliquée qu'après examen des circonstances, des moyens fournis, de l'évolution du marché et des obligations effectivement assumées.</w:t>
      </w:r>
    </w:p>
    <w:p>
      <w:pPr>
        <w:pStyle w:val="Intertitre"/>
      </w:pPr>
      <w:r>
        <w:t xml:space="preserve">Obligations de l'Agent</w:t>
      </w:r>
    </w:p>
    <w:p>
      <w:pPr>
        <w:pStyle w:val="Corps"/>
      </w:pPr>
      <w:r>
        <w:t xml:space="preserve">L'Agent exécute le mandat en bon professionnel, agit loyalement, respecte les instructions raisonnables compatibles avec son indépendance et préserve les intérêts du Mandant. Il communique au Mandant les informations utiles dont il dispose, évite les conflits d'intérêts non autorisés et ne représente pas une offre concurrente incompatible avec ses engagements. Il conserve la maîtrise de son organisation tout en coopérant loyalement à l'exécution des affaires obtenues.</w:t>
      </w:r>
    </w:p>
    <w:p>
      <w:pPr>
        <w:pStyle w:val="Intertitre"/>
      </w:pPr>
      <w:r>
        <w:t xml:space="preserve">Information et reporting</w:t>
      </w:r>
    </w:p>
    <w:p>
      <w:pPr>
        <w:pStyle w:val="Corps"/>
      </w:pPr>
      <w:r>
        <w:t xml:space="preserve">L'Agent transmet [Reporting d'activité] et [Informations de marché]. Il signale sans délai les difficultés significatives, réclamations, risques de solvabilité et changements affectant les affaires. Le reporting reste proportionné à l'objet du mandat et ne doit pas devenir un instrument de direction quotidienne. Les informations sont exactes, datées et présentées selon une fréquence convenue. Le Mandant protège les données transmises et limite leur utilisation au suivi des affaires et à ses obligations légitimes.</w:t>
      </w:r>
    </w:p>
    <w:p>
      <w:pPr>
        <w:pStyle w:val="Intertitre"/>
      </w:pPr>
      <w:r>
        <w:t xml:space="preserve">Réclamations clients</w:t>
      </w:r>
    </w:p>
    <w:p>
      <w:pPr>
        <w:pStyle w:val="Corps"/>
      </w:pPr>
      <w:r>
        <w:t xml:space="preserve">L'Agent suit [Réclamations clients], ne reconnaît aucune responsabilité au nom du Mandant sans pouvoir et transmet les éléments permettant une réponse rapide. Le processus distingue la réception, la transmission, les mesures urgentes et la réponse au client. L'Agent conserve les pièces reçues, n'altère pas les faits et respecte les délais communiqués. Le Mandant demeure responsable de la décision sur les remèdes commerciaux sauf pouvoir spécial accordé à l'Agent.</w:t>
      </w:r>
    </w:p>
    <w:p>
      <w:pPr>
        <w:pStyle w:val="Intertitre"/>
      </w:pPr>
      <w:r>
        <w:t xml:space="preserve">Encaissement — choisir une seule variante</w:t>
      </w:r>
    </w:p>
    <w:p>
      <w:pPr>
        <w:pStyle w:val="Variante"/>
      </w:pPr>
      <w:r>
        <w:t xml:space="preserve">Variante : Absence de pouvoir d'encaissement</w:t>
      </w:r>
    </w:p>
    <w:p>
      <w:pPr>
        <w:pStyle w:val="Corps"/>
      </w:pPr>
      <w:r>
        <w:t xml:space="preserve">L'Agent n'encaisse aucun fonds et ne délivre aucune quittance pour le compte du Mandant. Il oriente les clients vers les moyens de paiement officiels. Tout paiement reçu par erreur est signalé immédiatement et restitué ou transféré selon une instruction traçable. L'Agent ne conserve ni coordonnées bancaires ni moyens de paiement au-delà de ce qui est nécessaire à cette régularisation. Les documents commerciaux mentionnent les coordonnées de paiement du Mandant.</w:t>
      </w:r>
    </w:p>
    <w:p>
      <w:pPr>
        <w:pStyle w:val="Variante"/>
      </w:pPr>
      <w:r>
        <w:t xml:space="preserve">Variante : Encaissement autorisé</w:t>
      </w:r>
    </w:p>
    <w:p>
      <w:pPr>
        <w:pStyle w:val="Corps"/>
      </w:pPr>
      <w:r>
        <w:t xml:space="preserve">L'Agent ne peut encaisser que dans [Encaissement], dans la limite de [Plafond d'encaissement]. Il sépare les fonds, les reverse sur [Compte de reversement] et applique [Rapprochement des encaissements] afin de permettre leur rapprochement et leur justification. Chaque encaissement donne lieu à un reçu ou une trace rapprochable de l'affaire concernée. L'Agent n'utilise jamais les fonds pour son propre compte, respecte les règles de sécurité applicables et signale tout écart. Le Mandant peut contrôler les relevés et justificatifs dans des conditions proportionnées au risque.</w:t>
      </w:r>
    </w:p>
    <w:p>
      <w:pPr>
        <w:pStyle w:val="Intertitre"/>
      </w:pPr>
      <w:r>
        <w:t xml:space="preserve">Obligations du Mandant</w:t>
      </w:r>
    </w:p>
    <w:p>
      <w:pPr>
        <w:pStyle w:val="Corps"/>
      </w:pPr>
      <w:r>
        <w:t xml:space="preserve">Le Mandant met l'Agent en mesure d'exécuter son mandat au moyen de [Moyens fournis par le mandant], lui communique les informations nécessaires et l'avise dans un délai raisonnable d'une baisse prévisible du volume des opérations. Le Mandant agit loyalement, fournit des informations exactes sur les produits, les prix, les disponibilités et les conditions d'exécution, puis communique les décisions nécessaires. Il informe l'Agent des acceptations, refus et inexécutions ayant une incidence sur ses commissions et ne lui impose pas d'instructions incompatibles avec son indépendance.</w:t>
      </w:r>
    </w:p>
    <w:p>
      <w:pPr>
        <w:pStyle w:val="Intertitre"/>
      </w:pPr>
      <w:r>
        <w:t xml:space="preserve">Documentation commerciale</w:t>
      </w:r>
    </w:p>
    <w:p>
      <w:pPr>
        <w:pStyle w:val="Corps"/>
      </w:pPr>
      <w:r>
        <w:t xml:space="preserve">Le Mandant fournit [Documentation commerciale] et informe l'Agent des mises à jour. L'Agent retire les versions obsolètes et ne modifie pas les supports sans autorisation. Les supports sont datés, versionnés et adaptés aux territoires concernés. Le Mandant signale les mentions obligatoires et restrictions d'usage. L'Agent vérifie qu'il emploie la version en vigueur, ne traduit ni n'adapte un support sans accord et détruit ou restitue les exemplaires retirés selon les instructions reçues.</w:t>
      </w:r>
    </w:p>
    <w:p>
      <w:pPr>
        <w:pStyle w:val="Intertitre"/>
      </w:pPr>
      <w:r>
        <w:t xml:space="preserve">Exécution des contrats clients</w:t>
      </w:r>
    </w:p>
    <w:p>
      <w:pPr>
        <w:pStyle w:val="Corps"/>
      </w:pPr>
      <w:r>
        <w:t xml:space="preserve">Le Mandant demeure responsable de l'acceptation, la facturation, la livraison, la conformité et le service après-vente des affaires conclues en son nom, sauf mission distincte expressément confiée à l'Agent. Le Mandant tient l'Agent informé des difficultés d'exécution susceptibles d'affecter la relation commerciale ou la commission. L'Agent coopère raisonnablement sans se substituer au service responsable. Toute extension de sa mission à la livraison, au recouvrement ou au service après-vente fait l'objet d'un accord distinct sur les pouvoirs, les moyens et la rémunération.</w:t>
      </w:r>
    </w:p>
    <w:p>
      <w:pPr>
        <w:pStyle w:val="Intertitre"/>
      </w:pPr>
      <w:r>
        <w:t xml:space="preserve">Rémunération — choisir une seule variante</w:t>
      </w:r>
    </w:p>
    <w:p>
      <w:pPr>
        <w:pStyle w:val="Variante"/>
      </w:pPr>
      <w:r>
        <w:t xml:space="preserve">Variante : Commission proportionnelle</w:t>
      </w:r>
    </w:p>
    <w:p>
      <w:pPr>
        <w:pStyle w:val="Corps"/>
      </w:pPr>
      <w:r>
        <w:t xml:space="preserve">L'Agent perçoit [Taux de commission] sur [Base de commission] pour les opérations ouvrant droit à commission selon le contrat et la loi. Le calcul est reproduit selon [Méthode de calcul des commissions]. Le taux, l'assiette, la devise, les taxes exclues, les rabais, avoirs et éventuelles déductions sont définis de manière reproductible. Le relevé permet de rattacher chaque montant à une opération. Aucune réduction de l'assiette ne peut être appliquée sur le fondement d'un coût interne ou d'une valeur non prévue.</w:t>
      </w:r>
    </w:p>
    <w:p>
      <w:pPr>
        <w:pStyle w:val="Variante"/>
      </w:pPr>
      <w:r>
        <w:t xml:space="preserve">Variante : Commission progressive</w:t>
      </w:r>
    </w:p>
    <w:p>
      <w:pPr>
        <w:pStyle w:val="Corps"/>
      </w:pPr>
      <w:r>
        <w:t xml:space="preserve">La commission est calculée selon [Barème progressif] appliqué à [Base de commission]. Les paliers, périodes et régularisations sont calculés de manière reproductible. Le calcul est reproduit selon [Méthode de calcul des commissions]. Le franchissement d'un palier, son éventuelle rétroactivité et le traitement des annulations sont définis sans ambiguïté. Les données agrégées restent rapprochables des opérations individuelles. Une modification du barème ne s'applique qu'aux affaires postérieures à sa prise d'effet, sans remettre en cause les droits déjà acquis.</w:t>
      </w:r>
    </w:p>
    <w:p>
      <w:pPr>
        <w:pStyle w:val="Variante"/>
      </w:pPr>
      <w:r>
        <w:t xml:space="preserve">Variante : Rémunération mixte</w:t>
      </w:r>
    </w:p>
    <w:p>
      <w:pPr>
        <w:pStyle w:val="Corps"/>
      </w:pPr>
      <w:r>
        <w:t xml:space="preserve">L'Agent perçoit [Part fixe] au titre des missions expressément définies et [Taux de commission] sur [Base de commission] pour les affaires éligibles. La part fixe ne prive pas les éléments variables de leur qualification de commission. Le calcul est reproduit selon [Méthode de calcul des commissions]. La mission rémunérée par la part fixe est distinguée des opérations rémunérées par commission afin d'éviter tout double compte. Les conditions de facturation, d'exigibilité et de cessation de la part fixe sont précisées. Le caractère mixte de la rémunération ne modifie ni l'indépendance de l'Agent ni les protections impératives liées aux commissions.</w:t>
      </w:r>
    </w:p>
    <w:p>
      <w:pPr>
        <w:pStyle w:val="Intertitre"/>
      </w:pPr>
      <w:r>
        <w:t xml:space="preserve">Fait générateur — choisir une seule variante</w:t>
      </w:r>
    </w:p>
    <w:p>
      <w:pPr>
        <w:pStyle w:val="Variante"/>
      </w:pPr>
      <w:r>
        <w:t xml:space="preserve">Variante : Commission liée à l'affaire acceptée</w:t>
      </w:r>
    </w:p>
    <w:p>
      <w:pPr>
        <w:pStyle w:val="Corps"/>
      </w:pPr>
      <w:r>
        <w:t xml:space="preserve">Le droit est suivi selon [Fait générateur] à partir de l'acceptation de l'affaire, sous réserve des règles impératives relatives à l'exécution et à l'exigibilité. Les événements sont établis par [Preuves des événements de commission]. Le suivi distingue la date d'acceptation, l'exécution due, l'exécution effective et l'exigibilité de la commission. Une stipulation contractuelle ne peut retarder ou supprimer un droit en méconnaissance des règles impératives. Le Mandant communique à l'Agent les événements qui modifient l'état de l'opération.</w:t>
      </w:r>
    </w:p>
    <w:p>
      <w:pPr>
        <w:pStyle w:val="Variante"/>
      </w:pPr>
      <w:r>
        <w:t xml:space="preserve">Variante : Commission liée à l'exécution</w:t>
      </w:r>
    </w:p>
    <w:p>
      <w:pPr>
        <w:pStyle w:val="Corps"/>
      </w:pPr>
      <w:r>
        <w:t xml:space="preserve">Le droit et l'exigibilité sont suivis selon [Fait générateur] lorsque le Mandant ou le tiers a exécuté, ou aurait dû exécuter, l'opération dans les conditions légales applicables. Les événements sont établis par [Preuves des événements de commission]. Le dispositif permet d'identifier l'obligation exécutée, la date pertinente, les paiements reçus et toute inexécution. L'Agent dispose des éléments nécessaires pour vérifier l'acquisition et l'exigibilité de son droit. Un retard imputable au Mandant ne doit pas avoir pour effet de différer artificiellement la commission.</w:t>
      </w:r>
    </w:p>
    <w:p>
      <w:pPr>
        <w:pStyle w:val="Intertitre"/>
      </w:pPr>
      <w:r>
        <w:t xml:space="preserve">Affaires conclues directement</w:t>
      </w:r>
    </w:p>
    <w:p>
      <w:pPr>
        <w:pStyle w:val="Corps"/>
      </w:pPr>
      <w:r>
        <w:t xml:space="preserve">Les affaires conclues directement par le Mandant sont traitées selon [Affaires directes] et, lorsque le secteur ou la clientèle est exclusif, conformément au droit à commission attaché à ce périmètre. Le Mandant enregistre les ventes directes avec les données permettant de déterminer le territoire, la clientèle, le produit et la date de l'opération. Il les intègre au relevé lorsque le droit à commission est ouvert. Les ventes réalisées par un canal lié ou une entité agissant pour son compte sont traitées selon la même règle d'attribution.</w:t>
      </w:r>
    </w:p>
    <w:p>
      <w:pPr>
        <w:pStyle w:val="Intertitre"/>
      </w:pPr>
      <w:r>
        <w:t xml:space="preserve">Affaires conclues après la cessation</w:t>
      </w:r>
    </w:p>
    <w:p>
      <w:pPr>
        <w:pStyle w:val="Corps"/>
      </w:pPr>
      <w:r>
        <w:t xml:space="preserve">Les affaires conclues après la cessation sont traitées selon [Affaires postérieures] en tenant compte de l'intervention principalement due à l'Agent et du délai normal de conclusion. L'analyse tient compte de la date de la proposition, des démarches de l'Agent, du lien causal avec l'opération et du délai de conclusion normalement nécessaire. Les dossiers en cours sont inventoriés à la cessation. Le Mandant informe l'Agent de leur issue afin de permettre l'établissement du relevé final.</w:t>
      </w:r>
    </w:p>
    <w:p>
      <w:pPr>
        <w:pStyle w:val="Intertitre"/>
      </w:pPr>
      <w:r>
        <w:t xml:space="preserve">Relevé de commissions</w:t>
      </w:r>
    </w:p>
    <w:p>
      <w:pPr>
        <w:pStyle w:val="Corps"/>
      </w:pPr>
      <w:r>
        <w:t xml:space="preserve">Le Mandant remet les relevés selon [Relevé de commissions] avec les éléments essentiels de calcul. L'Agent peut demander les informations nécessaires à la vérification de ses commissions. Le relevé indique les affaires prises en compte, l'assiette, le taux, la devise, les ajustements, la date d'exigibilité et le montant dû. Les corrections sont justifiées et rapprochées du relevé antérieur. L'accès aux informations de contrôle respecte les secrets de tiers mais ne peut rendre le droit de vérification illusoire.</w:t>
      </w:r>
    </w:p>
    <w:p>
      <w:pPr>
        <w:pStyle w:val="Intertitre"/>
      </w:pPr>
      <w:r>
        <w:t xml:space="preserve">Paiement des commissions</w:t>
      </w:r>
    </w:p>
    <w:p>
      <w:pPr>
        <w:pStyle w:val="Corps"/>
      </w:pPr>
      <w:r>
        <w:t xml:space="preserve">Les commissions sont réglées selon [Paiement des commissions] sans délai supérieur à celui permis par le régime applicable. Le Mandant conserve les données permettant de rapprocher affaires, factures, exécution et paiements. Le paiement est accompagné du relevé correspondant et réalisé dans la devise et sur le compte convenus. Toute contestation est motivée sans retarder les montants non contestés. Les parties conservent la preuve des calculs, règlements et régularisations pendant la durée utile à l'exercice de leurs droits.</w:t>
      </w:r>
    </w:p>
    <w:p>
      <w:pPr>
        <w:pStyle w:val="Intertitre"/>
      </w:pPr>
      <w:r>
        <w:t xml:space="preserve">Extinction ou restitution</w:t>
      </w:r>
    </w:p>
    <w:p>
      <w:pPr>
        <w:pStyle w:val="Corps"/>
      </w:pPr>
      <w:r>
        <w:t xml:space="preserve">Une commission ne s'éteint ou n'est restituée que selon [Extinction ou restitution de commission] et s'il est établi que l'opération ne sera pas exécutée pour une cause non imputable au Mandant. Le Mandant établit l'inexécution définitive de l'opération et sa cause avant toute reprise. Une insolvabilité, une annulation ou un retour ne suffit pas si la situation est imputable au Mandant. Toute restitution figure sur un relevé détaillé et ne peut excéder la commission effectivement versée au titre de l'opération concernée.</w:t>
      </w:r>
    </w:p>
    <w:p>
      <w:pPr>
        <w:pStyle w:val="Intertitre"/>
      </w:pPr>
      <w:r>
        <w:t xml:space="preserve">Frais</w:t>
      </w:r>
    </w:p>
    <w:p>
      <w:pPr>
        <w:pStyle w:val="Corps"/>
      </w:pPr>
      <w:r>
        <w:t xml:space="preserve">L'Agent supporte ses frais d'exploitation sauf dépenses autorisées dans [Frais]. Toute dépense remboursable est justifiée et séparée de la commission. La politique distingue les charges ordinaires de l'activité indépendante et les dépenses engagées sur demande du Mandant. Elle précise l'autorisation préalable, les plafonds, les justificatifs et les délais de remise. Un remboursement de frais ne constitue pas une commission et ne doit pas dissimuler une rémunération ou un moyen de subordination.</w:t>
      </w:r>
    </w:p>
    <w:p>
      <w:pPr>
        <w:pStyle w:val="Intertitre"/>
      </w:pPr>
      <w:r>
        <w:t xml:space="preserve">Obligations fiscales et sociales</w:t>
      </w:r>
    </w:p>
    <w:p>
      <w:pPr>
        <w:pStyle w:val="Corps"/>
      </w:pPr>
      <w:r>
        <w:t xml:space="preserve">L'Agent assume [Statut fiscal et social] en qualité d'indépendant. Cette stipulation ne fait pas obstacle à une requalification si les conditions réelles d'exécution caractérisent une autre relation. L'Agent effectue ses déclarations, acquitte ses cotisations et conserve ses justificatifs. Le Mandant n'assume aucune obligation d'employeur du seul fait du contrat. Cette répartition documentaire ne prévaut toutefois jamais sur les conditions réelles d'exercice, qui demeurent déterminantes pour la qualification de la relation.</w:t>
      </w:r>
    </w:p>
    <w:p>
      <w:pPr>
        <w:pStyle w:val="Intertitre"/>
      </w:pPr>
      <w:r>
        <w:t xml:space="preserve">Clause optionnelle : Échantillons et stocks confiés</w:t>
      </w:r>
    </w:p>
    <w:p>
      <w:pPr>
        <w:pStyle w:val="Corps"/>
      </w:pPr>
      <w:r>
        <w:t xml:space="preserve">Les biens confiés suivent [Échantillons et stocks]. Ils restent identifiés, ne peuvent être cédés hors mandat et sont restitués ou inventoriés à première demande. Un inventaire indique la nature, la quantité, l'état et la valeur des biens remis. L'Agent les conserve séparément, les utilise uniquement pour le mandat et signale toute perte ou détérioration. Les mouvements sont tracés et un inventaire contradictoire est établi lors de la restitution ou de la cessation.</w:t>
      </w:r>
    </w:p>
    <w:p>
      <w:pPr>
        <w:pStyle w:val="Intertitre"/>
      </w:pPr>
      <w:r>
        <w:t xml:space="preserve">Communication commerciale</w:t>
      </w:r>
    </w:p>
    <w:p>
      <w:pPr>
        <w:pStyle w:val="Corps"/>
      </w:pPr>
      <w:r>
        <w:t xml:space="preserve">Toute campagne ou communication utilisant les signes du Mandant suit [Communication et marketing]. L'Agent s'abstient de toute allégation non autorisée ou trompeuse. Chaque validation identifie le support, la version, le territoire, la langue et la durée d'utilisation. L'Agent respecte les droits de propriété intellectuelle, les mentions réglementaires et les règles de prospection applicables. Il retire sans délai une campagne devenue inexacte, non conforme ou non autorisée.</w:t>
      </w:r>
    </w:p>
    <w:p>
      <w:pPr>
        <w:pStyle w:val="Intertitre"/>
      </w:pPr>
      <w:r>
        <w:t xml:space="preserve">Licence de marque</w:t>
      </w:r>
    </w:p>
    <w:p>
      <w:pPr>
        <w:pStyle w:val="Corps"/>
      </w:pPr>
      <w:r>
        <w:t xml:space="preserve">Le Mandant concède [Licence de marque] uniquement pour l'exécution du mandat. L'Agent cesse tout usage à la fin du contrat et ne dépose aucun signe similaire. L'autorisation est personnelle, limitée, non transférable et révocable en cas d'usage contraire au mandat. Elle ne permet aucune modification, dépôt, réservation de nom de domaine ou création de compte au nom du Mandant sans accord. L'Agent signale les atteintes dont il a connaissance sans engager lui-même une procédure.</w:t>
      </w:r>
    </w:p>
    <w:p>
      <w:pPr>
        <w:pStyle w:val="Intertitre"/>
      </w:pPr>
      <w:r>
        <w:t xml:space="preserve">Confidentialité</w:t>
      </w:r>
    </w:p>
    <w:p>
      <w:pPr>
        <w:pStyle w:val="Corps"/>
      </w:pPr>
      <w:r>
        <w:t xml:space="preserve">Les informations protégées suivent [Confidentialité]. L'Agent limite leur usage au mandat et les communique uniquement aux personnes autorisées. Chaque partie limite l'accès aux personnes ayant besoin d'en connaître et met en œuvre des mesures adaptées à la sensibilité des informations. Les informations publiques, déjà connues licitement ou reçues d'un tiers autorisé sont exclues. Une divulgation légalement requise est limitée et, lorsque possible, annoncée à l'autre partie.</w:t>
      </w:r>
    </w:p>
    <w:p>
      <w:pPr>
        <w:pStyle w:val="Intertitre"/>
      </w:pPr>
      <w:r>
        <w:t xml:space="preserve">Rôle relatif aux données — choisir une seule variante</w:t>
      </w:r>
    </w:p>
    <w:p>
      <w:pPr>
        <w:pStyle w:val="Variante"/>
      </w:pPr>
      <w:r>
        <w:t xml:space="preserve">Variante : Absence de traitement de données dans le mandat</w:t>
      </w:r>
    </w:p>
    <w:p>
      <w:pPr>
        <w:pStyle w:val="Corps"/>
      </w:pPr>
      <w:r>
        <w:t xml:space="preserve">Le mandat ne comporte aucune opération de traitement de données personnelles confiée entre les Parties. Toute évolution de ce périmètre exige une qualification préalable des rôles et la conclusion des actes requis. Les coordonnées professionnelles échangées pour la gestion de la relation restent traitées par chaque partie sous sa propre responsabilité. Aucun fichier de prospects ou de clients n'est confié pour compte dans cette branche. Avant tout nouveau flux, les parties documentent les données, finalités, accès, durées et responsabilités.</w:t>
      </w:r>
    </w:p>
    <w:p>
      <w:pPr>
        <w:pStyle w:val="Variante"/>
      </w:pPr>
      <w:r>
        <w:t xml:space="preserve">Variante : Responsables de traitement autonomes</w:t>
      </w:r>
    </w:p>
    <w:p>
      <w:pPr>
        <w:pStyle w:val="Corps"/>
      </w:pPr>
      <w:r>
        <w:t xml:space="preserve">Pour les traitements autonomes liés au mandat, les rôles et responsabilités sont répartis selon [Répartition des rôles autonomes]. Chaque Partie assume ses propres finalités, moyens, informations, droits et mesures de sécurité. La répartition précise notamment l'information des personnes, l'exercice des droits, la conservation, les destinataires et la gestion des incidents. Chaque partie s'interdit d'utiliser les données reçues pour une finalité incompatible. Toute évolution créant des instructions pour compte entraîne une nouvelle qualification avant le traitement concerné.</w:t>
      </w:r>
    </w:p>
    <w:p>
      <w:pPr>
        <w:pStyle w:val="Variante"/>
      </w:pPr>
      <w:r>
        <w:t xml:space="preserve">Variante : Traitement pour compte et DPA</w:t>
      </w:r>
    </w:p>
    <w:p>
      <w:pPr>
        <w:pStyle w:val="Corps"/>
      </w:pPr>
      <w:r>
        <w:t xml:space="preserve">Pour [Objet du traitement], [Sous-traitant RGPD] traite pour le compte de [Responsable de traitement] pendant [Durée du traitement] aux seules fins de [Finalités du traitement], selon [Instructions documentées]. Le traitement porte sur [Catégories de données] et concerne [Catégories de personnes]. Les obligations de l'article 28 sont organisées dans le DPA signé référencé [Référence du DPA]. Le DPA encadre la confidentialité, la sécurité, les sous-traitants ultérieurs, l'assistance, les incidents, les audits et le sort des données à la fin de la prestation. Les instructions sont documentées et les traitements hors instruction sont signalés. Le contrat principal ne remplace pas cet accord détaillé.</w:t>
      </w:r>
    </w:p>
    <w:p>
      <w:pPr>
        <w:pStyle w:val="Intertitre"/>
      </w:pPr>
      <w:r>
        <w:t xml:space="preserve">Clause optionnelle : Sous-agents</w:t>
      </w:r>
    </w:p>
    <w:p>
      <w:pPr>
        <w:pStyle w:val="Corps"/>
      </w:pPr>
      <w:r>
        <w:t xml:space="preserve">L'Agent ne recourt à un sous-agent qu'en suivant [Sous-agents]. Il demeure responsable de son intervention et ne lui confère aucun pouvoir supérieur au sien. Le processus précise les vérifications, l'autorisation, les produits, le territoire et les pouvoirs confiés. Le sous-agent agit dans des limites documentées et respecte les obligations de confidentialité, conformité et données applicables. Sa rémunération et ses actes ne créent aucune obligation directe pour le Mandant au-delà des pouvoirs accordés.</w:t>
      </w:r>
    </w:p>
    <w:p>
      <w:pPr>
        <w:pStyle w:val="Intertitre"/>
      </w:pPr>
      <w:r>
        <w:t xml:space="preserve">Conformité</w:t>
      </w:r>
    </w:p>
    <w:p>
      <w:pPr>
        <w:pStyle w:val="Corps"/>
      </w:pPr>
      <w:r>
        <w:t xml:space="preserve">L'Agent respecte les règles de concurrence, anticorruption, sanctions, démarchage et protection du consommateur applicables aux produits, clients et territoires. Toute instruction illicite est refusée et signalée. Les parties identifient les exigences propres aux territoires et secteurs concernés. L'Agent conserve les preuves des contrôles et formations utiles, déclare les conflits d'intérêts et n'offre aucun avantage indu. Le Mandant fournit les informations de conformité dont l'Agent a besoin pour présenter licitement les produits ou services.</w:t>
      </w:r>
    </w:p>
    <w:p>
      <w:pPr>
        <w:pStyle w:val="Intertitre"/>
      </w:pPr>
      <w:r>
        <w:t xml:space="preserve">Clause optionnelle : Assurances</w:t>
      </w:r>
    </w:p>
    <w:p>
      <w:pPr>
        <w:pStyle w:val="Corps"/>
      </w:pPr>
      <w:r>
        <w:t xml:space="preserve">L'Agent maintient [Assurances] pour les activités confiées et remet les attestations. L'assurance ne limite pas ses responsabilités. La couverture correspond aux risques de l'activité, aux territoires et aux éventuels pouvoirs d'encaissement ou de conclusion. L'Agent informe le Mandant d'une suspension ou réduction substantielle. La remise d'une attestation ne vaut ni validation de l'étendue de la garantie ni renonciation aux responsabilités prévues.</w:t>
      </w:r>
    </w:p>
    <w:p>
      <w:pPr>
        <w:pStyle w:val="Intertitre"/>
      </w:pPr>
      <w:r>
        <w:t xml:space="preserve">Régime de responsabilité — choisir une seule variante</w:t>
      </w:r>
    </w:p>
    <w:p>
      <w:pPr>
        <w:pStyle w:val="Variante"/>
      </w:pPr>
      <w:r>
        <w:t xml:space="preserve">Variante : Responsabilité plafonnée</w:t>
      </w:r>
    </w:p>
    <w:p>
      <w:pPr>
        <w:pStyle w:val="Corps"/>
      </w:pPr>
      <w:r>
        <w:t xml:space="preserve">Chaque partie répond des dommages directs causés par ses manquements prouvés. Sous réserve de [Exclusions du plafond], le plafond négocié est [Plafond de responsabilité] sans réduire les droits impératifs de l'Agent ni couvrir une faute grave. Le plafond et son assiette sont interprétés selon le risque effectivement négocié. Les exclusions ne peuvent neutraliser l'obligation essentielle ni les protections impératives. Chaque partie prend les mesures raisonnables pour limiter son dommage et conserve les éléments établissant le manquement, le préjudice réparable et le lien de causalité.</w:t>
      </w:r>
    </w:p>
    <w:p>
      <w:pPr>
        <w:pStyle w:val="Variante"/>
      </w:pPr>
      <w:r>
        <w:t xml:space="preserve">Variante : Responsabilité sans plafond contractuel</w:t>
      </w:r>
    </w:p>
    <w:p>
      <w:pPr>
        <w:pStyle w:val="Corps"/>
      </w:pPr>
      <w:r>
        <w:t xml:space="preserve">Chaque Partie répond des dommages directs causés par ses manquements prouvés, sans plafond contractuel, sous réserve de [Exclusions et droits impératifs] et des règles impératives applicables au statut de l'Agent. L'absence de plafond général ne crée aucune responsabilité automatique ni garantie de résultat. Chaque demande suppose la preuve de ses conditions. La partie affectée limite raisonnablement l'aggravation de son dommage et informe l'autre dans un délai utile, sans perdre les droits que la loi lui reconnaît.</w:t>
      </w:r>
    </w:p>
    <w:p>
      <w:pPr>
        <w:pStyle w:val="Intertitre"/>
      </w:pPr>
      <w:r>
        <w:t xml:space="preserve">Force majeure</w:t>
      </w:r>
    </w:p>
    <w:p>
      <w:pPr>
        <w:pStyle w:val="Corps"/>
      </w:pPr>
      <w:r>
        <w:t xml:space="preserve">La partie empêchée suit [Force majeure], notifie et atténue les effets. La force majeure n'efface pas les commissions déjà acquises ni les obligations non empêchées. La notification identifie l'événement, les obligations empêchées, sa durée prévisible et les mesures d'atténuation. Seules les obligations effectivement impossibles sont suspendues. Les parties réexaminent l'organisation du mandat et, si l'empêchement perdure ou devient définitif, appliquent les conséquences prévues par le droit applicable.</w:t>
      </w:r>
    </w:p>
    <w:p>
      <w:pPr>
        <w:pStyle w:val="Intertitre"/>
      </w:pPr>
      <w:r>
        <w:t xml:space="preserve">Durée — choisir une seule variante</w:t>
      </w:r>
    </w:p>
    <w:p>
      <w:pPr>
        <w:pStyle w:val="Variante"/>
      </w:pPr>
      <w:r>
        <w:t xml:space="preserve">Variante : Durée déterminée</w:t>
      </w:r>
    </w:p>
    <w:p>
      <w:pPr>
        <w:pStyle w:val="Corps"/>
      </w:pPr>
      <w:r>
        <w:t xml:space="preserve">Le contrat prend effet le [Date de prise d'effet] pour [Durée déterminée]. Sa poursuite après le terme peut produire les effets prévus par le régime légal de l'agence commerciale. Le terme met fin au mandat sous réserve des droits nés de la cessation, des commissions postérieures et des obligations survivantes. Les parties préparent avant cette date l'inventaire des affaires en cours et la restitution. Toute poursuite effective est constatée et traitée selon la transformation légale applicable.</w:t>
      </w:r>
    </w:p>
    <w:p>
      <w:pPr>
        <w:pStyle w:val="Variante"/>
      </w:pPr>
      <w:r>
        <w:t xml:space="preserve">Variante : Durée indéterminée</w:t>
      </w:r>
    </w:p>
    <w:p>
      <w:pPr>
        <w:pStyle w:val="Corps"/>
      </w:pPr>
      <w:r>
        <w:t xml:space="preserve">Le contrat prend effet le [Date de prise d'effet] sans terme. Sa cessation ordinaire respecte [Préavis] et, au minimum, [Préavis légal minimal]. La notification de cessation est prouvée et fixe une date respectant le délai applicable. Le préavis conventionnel ne peut être inférieur au minimum légal ni moins favorable à l'Agent selon les règles impératives. Pendant le préavis, le mandat se poursuit loyalement sauf impossibilité ou faute grave établie.</w:t>
      </w:r>
    </w:p>
    <w:p>
      <w:pPr>
        <w:pStyle w:val="Intertitre"/>
      </w:pPr>
      <w:r>
        <w:t xml:space="preserve">Faute grave</w:t>
      </w:r>
    </w:p>
    <w:p>
      <w:pPr>
        <w:pStyle w:val="Corps"/>
      </w:pPr>
      <w:r>
        <w:t xml:space="preserve">Toute invocation d'une faute grave suit [Faute grave] et repose sur des faits rendant impossible le maintien du mandat. La qualification et ses effets sur préavis et indemnité ne sont jamais automatiques. La notification décrit les faits, leur date, les obligations méconnues et les éléments de preuve. Les parties distinguent une inexécution ordinaire susceptible de régularisation d'un comportement rendant impossible la poursuite du mandat. Les conséquences ne sont appliquées qu'après une qualification circonstanciée, sans clause automatique.</w:t>
      </w:r>
    </w:p>
    <w:p>
      <w:pPr>
        <w:pStyle w:val="Intertitre"/>
      </w:pPr>
      <w:r>
        <w:t xml:space="preserve">Indemnité de cessation</w:t>
      </w:r>
    </w:p>
    <w:p>
      <w:pPr>
        <w:pStyle w:val="Corps"/>
      </w:pPr>
      <w:r>
        <w:t xml:space="preserve">À la cessation, les parties appliquent [Indemnité de cessation] sans écarter le droit de l'Agent à l'indemnité compensatrice lorsque les conditions légales sont réunies. Le processus organise l'information de l'Agent, l'évaluation contradictoire du préjudice et la conservation des données relatives au portefeuille et aux commissions. Les exceptions légales sont appréciées strictement à partir des circonstances réelles. Aucun reçu pour solde ou renonciation anticipée ne peut écarter un droit impératif.</w:t>
      </w:r>
    </w:p>
    <w:p>
      <w:pPr>
        <w:pStyle w:val="Intertitre"/>
      </w:pPr>
      <w:r>
        <w:t xml:space="preserve">Notification du droit à réparation</w:t>
      </w:r>
    </w:p>
    <w:p>
      <w:pPr>
        <w:pStyle w:val="Corps"/>
      </w:pPr>
      <w:r>
        <w:t xml:space="preserve">L'Agent qui entend faire valoir son droit à réparation notifie le Mandant dans le délai suivant à compter de la cessation : [Délai légal de notification du droit à réparation]. Le contrat ne réduit pas ce délai ni les droits des ayants droit. La notification exprime sans ambiguïté l'intention de faire valoir le droit et est adressée par un moyen permettant d'établir sa date. Elle peut intervenir sans chiffrage définitif. Le Mandant conserve les informations nécessaires à l'évaluation et accuse réception sans subordonner le droit à une formalité non prévue.</w:t>
      </w:r>
    </w:p>
    <w:p>
      <w:pPr>
        <w:pStyle w:val="Intertitre"/>
      </w:pPr>
      <w:r>
        <w:t xml:space="preserve">Clause optionnelle : Non-concurrence après la cessation</w:t>
      </w:r>
    </w:p>
    <w:p>
      <w:pPr>
        <w:pStyle w:val="Corps"/>
      </w:pPr>
      <w:r>
        <w:t xml:space="preserve">La restriction écrite couvre uniquement [Non-concurrence post-contractuelle] pendant [Durée de non-concurrence], sans dépasser [Durée légale maximale de non-concurrence]. Elle reste limitée au secteur, à la clientèle et aux produits ou services confiés. La clause est écrite et identifie précisément la zone ou clientèle ainsi que les produits ou services concernés. Elle ne peut excéder la durée maximale résolue depuis la source officielle. Toute extension, reconduction ou interprétation analogue est exclue ; sa validité reste appréciée au regard du régime impératif applicable.</w:t>
      </w:r>
    </w:p>
    <w:p>
      <w:pPr>
        <w:pStyle w:val="Intertitre"/>
      </w:pPr>
      <w:r>
        <w:t xml:space="preserve">Passation</w:t>
      </w:r>
    </w:p>
    <w:p>
      <w:pPr>
        <w:pStyle w:val="Corps"/>
      </w:pPr>
      <w:r>
        <w:t xml:space="preserve">À la cessation, l'Agent exécute [Passation de fin] sans renoncer aux commissions ou indemnités. Le Mandant conserve les éléments nécessaires au calcul des affaires en cours. La passation recense les prospects, propositions, commandes, réclamations et échéances encore ouverts, avec leur état et les pièces utiles. Elle ne permet pas au Mandant de priver l'Agent de l'accès aux informations nécessaires au contrôle de ses commissions. Les responsabilités de chaque partie sont consignées jusqu'à la clôture.</w:t>
      </w:r>
    </w:p>
    <w:p>
      <w:pPr>
        <w:pStyle w:val="Intertitre"/>
      </w:pPr>
      <w:r>
        <w:t xml:space="preserve">Restitution</w:t>
      </w:r>
    </w:p>
    <w:p>
      <w:pPr>
        <w:pStyle w:val="Corps"/>
      </w:pPr>
      <w:r>
        <w:t xml:space="preserve">L'Agent applique [Restitution] pour les documents, stocks, accès, données et signes du Mandant. Les copies conservées pour preuve restent protégées. Un inventaire contradictoire identifie les biens et accès restitués, supprimés ou conservés pour preuve. Les secrets et données restent protégés après la cessation. La suppression d'une copie n'est exigée que si elle est compatible avec les obligations légales de conservation et les besoins légitimes de défense.</w:t>
      </w:r>
    </w:p>
    <w:p>
      <w:pPr>
        <w:pStyle w:val="Intertitre"/>
      </w:pPr>
      <w:r>
        <w:t xml:space="preserve">Notifications</w:t>
      </w:r>
    </w:p>
    <w:p>
      <w:pPr>
        <w:pStyle w:val="Corps"/>
      </w:pPr>
      <w:r>
        <w:t xml:space="preserve">Les notifications sont adressées à [Notifications] par un moyen établissant date et réception. Chaque partie actualise ses coordonnées. Une notification mentionne son objet, le contrat et, lorsqu'elle fait courir un délai, les faits et la date d'effet invoqués. Une communication opérationnelle ordinaire ne remplace pas la forme exigée pour un préavis, une résiliation ou une demande d'indemnité. Les preuves d'envoi et de réception sont conservées.</w:t>
      </w:r>
    </w:p>
    <w:p>
      <w:pPr>
        <w:pStyle w:val="Intertitre"/>
      </w:pPr>
      <w:r>
        <w:t xml:space="preserve">Cession</w:t>
      </w:r>
    </w:p>
    <w:p>
      <w:pPr>
        <w:pStyle w:val="Corps"/>
      </w:pPr>
      <w:r>
        <w:t xml:space="preserve">Le mandat repose sur les qualités de l'Agent et ne peut être cédé sans accord écrit du Mandant, sous réserve des règles impératives et sans priver l'Agent de droits nés avant l'opération. Le projet de cession est communiqué avec l'identité du bénéficiaire, son périmètre et sa date envisagée. Un accord ne vaut pas renonciation aux commissions, indemnités ou créances antérieures. Une réorganisation du Mandant ne peut modifier unilatéralement les obligations ou neutraliser les protections attachées à la cessation.</w:t>
      </w:r>
    </w:p>
    <w:p>
      <w:pPr>
        <w:pStyle w:val="Intertitre"/>
      </w:pPr>
      <w:r>
        <w:t xml:space="preserve">Intégralité et non-dérogation</w:t>
      </w:r>
    </w:p>
    <w:p>
      <w:pPr>
        <w:pStyle w:val="Corps"/>
      </w:pPr>
      <w:r>
        <w:t xml:space="preserve">Le contrat et ses annexes organisent le mandat sans pouvoir déroger au détriment de l'Agent aux dispositions déclarées impératives par le Code de commerce. Les échanges antérieurs ne créent pas d'obligations supplémentaires s'ils ne sont pas repris dans un document contractuel identifié. Toute modification respecte la forme convenue et les dispositions impératives. La nullité ou l'inopposabilité d'une clause n'affecte pas les autres stipulations lorsque l'économie du mandat peut être maintenue.</w:t>
      </w:r>
    </w:p>
    <w:p>
      <w:pPr>
        <w:pStyle w:val="Intertitre"/>
      </w:pPr>
      <w:r>
        <w:t xml:space="preserve">Clause optionnelle : Droit applicable et juridictions</w:t>
      </w:r>
    </w:p>
    <w:p>
      <w:pPr>
        <w:pStyle w:val="Corps"/>
      </w:pPr>
      <w:r>
        <w:t xml:space="preserve">Le contrat est soumis à [Droit applicable]. Les litiges relèvent de [Juridictions compétentes] sous réserve des règles impératives et de la qualification réelle de la relation. Avant toute saisine, les parties peuvent échanger de bonne foi sur le différend sans laisser expirer un délai impératif. La clause de juridiction n'est appliquée que si ses conditions de validité sont établies et ne prive aucune partie d'une compétence impérative. La loi désignée ne modifie pas artificiellement la qualification réelle du mandat.</w:t>
      </w:r>
    </w:p>
    <w:p>
      <w:pPr>
        <w:pStyle w:val="Intertitre"/>
      </w:pPr>
      <w:r>
        <w:t xml:space="preserve">Clause optionnelle : Annexes</w:t>
      </w:r>
    </w:p>
    <w:p>
      <w:pPr>
        <w:pStyle w:val="Corps"/>
      </w:pPr>
      <w:r>
        <w:t xml:space="preserve">Lorsqu'elles sont retenues, les annexes relatives aux produits et services, au territoire, à la clientèle, aux comptes réservés, aux pouvoirs, aux prix, aux commissions, aux objectifs, aux supports et aux données sont identifiées, datées et rattachées au contrat signé. Chaque annexe est numérotée, datée, versionnée et signée ou paraphée selon le procédé retenu. L'ordre de priorité et le traitement des contradictions sont précisés. Un catalogue, barème ou support non identifié n'est pas réputé accepté, et toute mise à jour substantielle suit une procédure traçable.</w:t>
      </w:r>
    </w:p>
    <w:p>
      <w:pPr>
        <w:pStyle w:val="Intertitre"/>
      </w:pPr>
      <w:r>
        <w:t xml:space="preserve">Signature selon la forme de l'Agent — choisir une seule variante</w:t>
      </w:r>
    </w:p>
    <w:p>
      <w:pPr>
        <w:pStyle w:val="Variante"/>
      </w:pPr>
      <w:r>
        <w:t xml:space="preserve">Variante : Signatures - Agent personne physique</w:t>
      </w:r>
    </w:p>
    <w:p>
      <w:pPr>
        <w:pStyle w:val="Corps"/>
      </w:pPr>
      <w:r>
        <w:t xml:space="preserve">Fait à [Lieu de signature], le [Date de signature], sous la référence [Référence du contrat]. Pour le Mandant : [Représentant du mandant]. L'Agent : [Identité de l'Agent personne physique]. Chaque signataire déclare disposer du pouvoir nécessaire et reçoit le contrat avec ses annexes identifiées. La signature de l'Agent personne physique est apposée en son nom propre. Le procédé retenu permet d'identifier les signataires, de dater l'acte, d'en préserver l'intégrité et d'en conserver la preuve.</w:t>
      </w:r>
    </w:p>
    <w:p>
      <w:pPr>
        <w:pStyle w:val="Variante"/>
      </w:pPr>
      <w:r>
        <w:t xml:space="preserve">Variante : Signatures - Agent personne morale</w:t>
      </w:r>
    </w:p>
    <w:p>
      <w:pPr>
        <w:pStyle w:val="Corps"/>
      </w:pPr>
      <w:r>
        <w:t xml:space="preserve">Fait à [Lieu de signature], le [Date de signature], sous la référence [Référence du contrat]. Pour le Mandant : [Représentant du mandant]. Pour l'Agent : [Représentant de l'agent]. Chaque représentant déclare disposer du pouvoir nécessaire pour engager la personne morale concernée et reçoit le contrat avec ses annexes. La signature distingue clairement le nom de la personne morale, l'identité et la qualité du représentant. Le procédé retenu garantit l'identification, la date, l'intégrité et la conservation de l'acte.</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