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COMMISSION</w:t>
      </w:r>
    </w:p>
    <w:p>
      <w:pPr>
        <w:pStyle w:val="Intertitre"/>
      </w:pPr>
      <w:r>
        <w:t xml:space="preserve">Forme du Commettant — choisir une seule variante</w:t>
      </w:r>
    </w:p>
    <w:p>
      <w:pPr>
        <w:pStyle w:val="Variante"/>
      </w:pPr>
      <w:r>
        <w:t xml:space="preserve">Variante : Le Commettant personne physique</w:t>
      </w:r>
    </w:p>
    <w:p>
      <w:pPr>
        <w:pStyle w:val="Corps"/>
      </w:pPr>
      <w:r>
        <w:t xml:space="preserve">Le présent contrat est conclu avec [Identité du Commettant personne physique], agissant en son nom et à ses risques, ci-après le Commettant. Le Commettant communique son identité professionnelle, son adresse et les éléments établissant sa capacité à confier les opérations. Il informe le Commissionnaire de tout changement susceptible d'affecter les instructions, la propriété des biens ou le règlement des comptes.</w:t>
      </w:r>
    </w:p>
    <w:p>
      <w:pPr>
        <w:pStyle w:val="Variante"/>
      </w:pPr>
      <w:r>
        <w:t xml:space="preserve">Variante : Le Commettant personne morale</w:t>
      </w:r>
    </w:p>
    <w:p>
      <w:pPr>
        <w:pStyle w:val="Corps"/>
      </w:pPr>
      <w:r>
        <w:t xml:space="preserve">Le présent contrat est conclu avec [Identité du Commettant personne morale], représentée par [Représentant du Commettant], ci-après le Commettant. La personne morale communique sa forme, son siège, son immatriculation et le pouvoir du représentant habilité. Elle demeure tenue des obligations du contrat et signale toute modification de représentation ou d'organisation susceptible d'affecter les opérations confiées.</w:t>
      </w:r>
    </w:p>
    <w:p>
      <w:pPr>
        <w:pStyle w:val="Intertitre"/>
      </w:pPr>
      <w:r>
        <w:t xml:space="preserve">Forme du Commissionnaire — choisir une seule variante</w:t>
      </w:r>
    </w:p>
    <w:p>
      <w:pPr>
        <w:pStyle w:val="Variante"/>
      </w:pPr>
      <w:r>
        <w:t xml:space="preserve">Variante : Le Commissionnaire personne physique</w:t>
      </w:r>
    </w:p>
    <w:p>
      <w:pPr>
        <w:pStyle w:val="Corps"/>
      </w:pPr>
      <w:r>
        <w:t xml:space="preserve">L'autre Partie est [Identité du Commissionnaire personne physique], agissant en son nom et à ses risques, ci-après le Commissionnaire. Le Commissionnaire exerce en son nom propre et communique son identité professionnelle, son adresse, son immatriculation et les justificatifs utiles. Il signale toute cessation ou modification affectant son aptitude à contracter en son nom pour le compte du Commettant.</w:t>
      </w:r>
    </w:p>
    <w:p>
      <w:pPr>
        <w:pStyle w:val="Variante"/>
      </w:pPr>
      <w:r>
        <w:t xml:space="preserve">Variante : Le Commissionnaire personne morale</w:t>
      </w:r>
    </w:p>
    <w:p>
      <w:pPr>
        <w:pStyle w:val="Corps"/>
      </w:pPr>
      <w:r>
        <w:t xml:space="preserve">L'autre Partie est [Identité du Commissionnaire personne morale], représentée par [Représentant du Commissionnaire], ci-après le Commissionnaire. La personne morale communique sa forme, son siège, son immatriculation et l'identité de son représentant. Elle reste seule titulaire de la mission et responsable des moyens mobilisés. Tout changement de représentation ou de statut affectant l'exécution est signalé.</w:t>
      </w:r>
    </w:p>
    <w:p>
      <w:pPr>
        <w:pStyle w:val="Intertitre"/>
      </w:pPr>
      <w:r>
        <w:t xml:space="preserve">Clause optionnelle : Capacité et pouvoirs</w:t>
      </w:r>
    </w:p>
    <w:p>
      <w:pPr>
        <w:pStyle w:val="Corps"/>
      </w:pPr>
      <w:r>
        <w:t xml:space="preserve">Le Commettant ou son représentant justifie de [Pouvoir ou capacité du Commettant]. Le Commissionnaire ou son représentant justifie de [Pouvoir ou capacité du Commissionnaire]. Les pièces sont vérifiées avant signature et conservées avec le contrat. Leur contrôle porte sur leur actualité, leur périmètre et les limitations opposables. Aucun pouvoir ne peut être déduit d'un titre de fonction ou d'une valeur de démonstration.</w:t>
      </w:r>
    </w:p>
    <w:p>
      <w:pPr>
        <w:pStyle w:val="Intertitre"/>
      </w:pPr>
      <w:r>
        <w:t xml:space="preserve">Qualité du Commissionnaire</w:t>
      </w:r>
    </w:p>
    <w:p>
      <w:pPr>
        <w:pStyle w:val="Corps"/>
      </w:pPr>
      <w:r>
        <w:t xml:space="preserve">Le Commissionnaire agit en son propre nom ou sous son nom social pour le compte du Commettant. Il devient partie aux contrats conclus avec les tiers selon leur contenu et répond envers eux des engagements qu'il souscrit. Les tiers n'ont de relation contractuelle qu'avec le Commissionnaire, sauf montage distinct expressément convenu. La reddition au Commettant organise leurs rapports internes sans effacer les engagements pris envers les tiers. Toute évolution vers une représentation directe impose une nouvelle qualification.</w:t>
      </w:r>
    </w:p>
    <w:p>
      <w:pPr>
        <w:pStyle w:val="Intertitre"/>
      </w:pPr>
      <w:r>
        <w:t xml:space="preserve">Indépendance</w:t>
      </w:r>
    </w:p>
    <w:p>
      <w:pPr>
        <w:pStyle w:val="Corps"/>
      </w:pPr>
      <w:r>
        <w:t xml:space="preserve">Le Commissionnaire organise ses moyens sans lien de subordination, supporte ses charges et ne se présente ni comme salarié ni comme agent commercial du Commettant. Il choisit son organisation, ses moyens et ses méthodes, sous réserve des instructions contractuelles relatives aux opérations. Le contrôle des comptes, fonds et biens ne constitue pas un pouvoir hiérarchique. Les conditions réelles demeurent déterminantes pour qualifier la relation.</w:t>
      </w:r>
    </w:p>
    <w:p>
      <w:pPr>
        <w:pStyle w:val="Intertitre"/>
      </w:pPr>
      <w:r>
        <w:t xml:space="preserve">Opération — choisir une seule variante</w:t>
      </w:r>
    </w:p>
    <w:p>
      <w:pPr>
        <w:pStyle w:val="Variante"/>
      </w:pPr>
      <w:r>
        <w:t xml:space="preserve">Variante : Commission d'achat</w:t>
      </w:r>
    </w:p>
    <w:p>
      <w:pPr>
        <w:pStyle w:val="Corps"/>
      </w:pPr>
      <w:r>
        <w:t xml:space="preserve">Le Commissionnaire recherche et achète en son nom pour le compte du Commettant les éléments définis dans [Produits ou services] conformément à [Conditions d'achat]. Les spécifications, quantités, prix cibles, délais et contrôles sont identifiés avant l'achat. Le Commissionnaire ne substitue pas un produit, un fournisseur ou une condition essentielle hors des pouvoirs accordés. Il conserve la preuve de la sélection et du contrat conclu.</w:t>
      </w:r>
    </w:p>
    <w:p>
      <w:pPr>
        <w:pStyle w:val="Variante"/>
      </w:pPr>
      <w:r>
        <w:t xml:space="preserve">Variante : Commission de vente</w:t>
      </w:r>
    </w:p>
    <w:p>
      <w:pPr>
        <w:pStyle w:val="Corps"/>
      </w:pPr>
      <w:r>
        <w:t xml:space="preserve">Le Commissionnaire commercialise et vend en son nom pour le compte du Commettant [Produits ou services] conformément à [Conditions de vente]. Les biens ou droits, quantités, prix, garanties et conditions de vente sont identifiés. Le Commissionnaire vérifie les disponibilités et ne promet aucune caractéristique non confirmée. Les contrats conclus et leurs modifications restent traçables jusqu'à leur exécution complète.</w:t>
      </w:r>
    </w:p>
    <w:p>
      <w:pPr>
        <w:pStyle w:val="Variante"/>
      </w:pPr>
      <w:r>
        <w:t xml:space="preserve">Variante : Commission de services</w:t>
      </w:r>
    </w:p>
    <w:p>
      <w:pPr>
        <w:pStyle w:val="Corps"/>
      </w:pPr>
      <w:r>
        <w:t xml:space="preserve">Le Commissionnaire contracte en son nom pour le compte du Commettant les prestations définies dans [Conditions de prestation] et [Produits ou services]. La nature, le niveau, les livrables, les délais et critères de la prestation sont définis avant engagement. Le Commissionnaire vérifie l'aptitude du prestataire tiers et ne modifie pas une condition essentielle sans instruction ou marge d'appréciation autorisée.</w:t>
      </w:r>
    </w:p>
    <w:p>
      <w:pPr>
        <w:pStyle w:val="Intertitre"/>
      </w:pPr>
      <w:r>
        <w:t xml:space="preserve">Périmètre des opérations</w:t>
      </w:r>
    </w:p>
    <w:p>
      <w:pPr>
        <w:pStyle w:val="Corps"/>
      </w:pPr>
      <w:r>
        <w:t xml:space="preserve">La mission couvre [Opérations confiées] sur [Territoire] avec [Tiers concernés]. Toute extension nécessite une instruction écrite préalable. Le périmètre distingue les opérations autorisées des activités exclues, notamment sectorielles ou réglementées. Les catégories de tiers et canaux sont précisées. Une opération hors territoire, objet ou cible reste suspendue jusqu'à une instruction écrite et un contrôle de conformité.</w:t>
      </w:r>
    </w:p>
    <w:p>
      <w:pPr>
        <w:pStyle w:val="Intertitre"/>
      </w:pPr>
      <w:r>
        <w:t xml:space="preserve">Instructions — choisir une seule variante</w:t>
      </w:r>
    </w:p>
    <w:p>
      <w:pPr>
        <w:pStyle w:val="Variante"/>
      </w:pPr>
      <w:r>
        <w:t xml:space="preserve">Variante : Instructions impératives</w:t>
      </w:r>
    </w:p>
    <w:p>
      <w:pPr>
        <w:pStyle w:val="Corps"/>
      </w:pPr>
      <w:r>
        <w:t xml:space="preserve">Le Commissionnaire respecte strictement [Limites de mission] et sollicite une instruction complémentaire avant tout écart sur le prix, la quantité, le délai, le tiers ou la garantie. Une instruction insuffisante ou contradictoire ne permet pas au Commissionnaire de compléter lui-même une condition essentielle. Il sollicite une clarification et prend uniquement les mesures conservatoires raisonnables. Tout dépassement expressément autorisé est daté, limité et rattaché à l'opération concernée.</w:t>
      </w:r>
    </w:p>
    <w:p>
      <w:pPr>
        <w:pStyle w:val="Variante"/>
      </w:pPr>
      <w:r>
        <w:t xml:space="preserve">Variante : Marge d'appréciation</w:t>
      </w:r>
    </w:p>
    <w:p>
      <w:pPr>
        <w:pStyle w:val="Corps"/>
      </w:pPr>
      <w:r>
        <w:t xml:space="preserve">Dans [Marge d'appréciation], le Commissionnaire adapte les conditions à l'intérêt du Commettant. Il documente le motif de tout choix significatif et respecte les limites [Limites de mission]. La marge ne permet pas de changer la nature de l'opération, d'assumer une garantie nouvelle ou de dépasser un plafond. Les choix sont justifiés par l'intérêt du Commettant et les informations disponibles. Un arbitrage significatif est porté au prochain compte rendu.</w:t>
      </w:r>
    </w:p>
    <w:p>
      <w:pPr>
        <w:pStyle w:val="Intertitre"/>
      </w:pPr>
      <w:r>
        <w:t xml:space="preserve">Circuit des instructions</w:t>
      </w:r>
    </w:p>
    <w:p>
      <w:pPr>
        <w:pStyle w:val="Corps"/>
      </w:pPr>
      <w:r>
        <w:t xml:space="preserve">Les instructions suivent [Instructions]. Le Commissionnaire signale sans délai une instruction impossible, illicite, ambiguë ou susceptible de causer un préjudice manifeste. Le circuit identifie les personnes habilitées, les canaux, les urgences et la preuve de réception. Une instruction orale affectant un élément essentiel est confirmée. Le Commissionnaire refuse une instruction contraire au droit ou à un engagement déjà pris envers un tiers.</w:t>
      </w:r>
    </w:p>
    <w:p>
      <w:pPr>
        <w:pStyle w:val="Intertitre"/>
      </w:pPr>
      <w:r>
        <w:t xml:space="preserve">Approbation préalable</w:t>
      </w:r>
    </w:p>
    <w:p>
      <w:pPr>
        <w:pStyle w:val="Corps"/>
      </w:pPr>
      <w:r>
        <w:t xml:space="preserve">Les opérations sensibles suivent [Validation des opérations]. L'approbation identifie l'opération et ne vaut pas autorisation générale pour des conditions différentes. Les seuils et catégories soumis à approbation sont déterminables. La demande expose le tiers, le prix, les risques, les garanties et les écarts éventuels. L'absence de réponse ne vaut pas accord, sauf mécanisme exprès compatible avec l'opération concernée.</w:t>
      </w:r>
    </w:p>
    <w:p>
      <w:pPr>
        <w:pStyle w:val="Intertitre"/>
      </w:pPr>
      <w:r>
        <w:t xml:space="preserve">Conflits d'intérêts</w:t>
      </w:r>
    </w:p>
    <w:p>
      <w:pPr>
        <w:pStyle w:val="Corps"/>
      </w:pPr>
      <w:r>
        <w:t xml:space="preserve">Le Commissionnaire applique [Conflits d'intérêts] avant de contracter avec une personne liée, recevoir une double rémunération ou poursuivre un intérêt concurrent. La déclaration précise le lien, l'intérêt, la double rémunération éventuelle et les mesures de prévention. Le Commissionnaire ne favorise pas un tiers lié au détriment du Commettant. En cas d'incompatibilité non résolue, il s'abstient de conclure.</w:t>
      </w:r>
    </w:p>
    <w:p>
      <w:pPr>
        <w:pStyle w:val="Intertitre"/>
      </w:pPr>
      <w:r>
        <w:t xml:space="preserve">Contrats conclus avec les tiers</w:t>
      </w:r>
    </w:p>
    <w:p>
      <w:pPr>
        <w:pStyle w:val="Corps"/>
      </w:pPr>
      <w:r>
        <w:t xml:space="preserve">Le Commissionnaire conclut les contrats selon [Contrats avec les tiers] en son propre nom et conserve une version complète de chaque engagement, modification et preuve d'exécution. Chaque contrat permet d'identifier les parties, l'objet, le prix, les délais, les garanties, le droit applicable et les modalités de preuve. Le Commissionnaire n'insère aucune stipulation incompatible avec ses instructions. Les avenants et résiliations sont conservés avec la version initiale.</w:t>
      </w:r>
    </w:p>
    <w:p>
      <w:pPr>
        <w:pStyle w:val="Intertitre"/>
      </w:pPr>
      <w:r>
        <w:t xml:space="preserve">Vérification des tiers</w:t>
      </w:r>
    </w:p>
    <w:p>
      <w:pPr>
        <w:pStyle w:val="Corps"/>
      </w:pPr>
      <w:r>
        <w:t xml:space="preserve">Avant l'opération, le Commissionnaire exécute [Contrôle des tiers] et alerte le Commettant de tout risque significatif de solvabilité, sanctions, fraude ou absence de pouvoirs. Le contrôle est proportionné au montant, au territoire et au risque de l'opération. Il porte notamment sur l'identité, les pouvoirs, la réputation, les sanctions et les coordonnées de paiement. Un signal d'alerte est documenté et traité avant engagement.</w:t>
      </w:r>
    </w:p>
    <w:p>
      <w:pPr>
        <w:pStyle w:val="Intertitre"/>
      </w:pPr>
      <w:r>
        <w:t xml:space="preserve">Information sur le Commettant</w:t>
      </w:r>
    </w:p>
    <w:p>
      <w:pPr>
        <w:pStyle w:val="Corps"/>
      </w:pPr>
      <w:r>
        <w:t xml:space="preserve">L'identité ou le rôle du Commettant est communiqué uniquement selon [Information sur le commettant] et lorsque la loi, la loyauté ou l'exécution de l'opération l'exigent. La politique distingue l'anonymat commercial licite de la dissimulation trompeuse ou impossible à maintenir. Le Commissionnaire ne fait aucune déclaration inexacte sur la propriété, le bénéficiaire ou la destination. Toute divulgation nécessaire est limitée aux informations pertinentes.</w:t>
      </w:r>
    </w:p>
    <w:p>
      <w:pPr>
        <w:pStyle w:val="Intertitre"/>
      </w:pPr>
      <w:r>
        <w:t xml:space="preserve">Exécution des opérations</w:t>
      </w:r>
    </w:p>
    <w:p>
      <w:pPr>
        <w:pStyle w:val="Corps"/>
      </w:pPr>
      <w:r>
        <w:t xml:space="preserve">Le Commissionnaire applique [Exécution des opérations], accomplit les diligences convenues et informe rapidement de tout incident, retard, réclamation ou changement de conditions. Le suivi distingue les obligations du Commissionnaire, du tiers et du Commettant. Chaque incident est daté, qualifié et accompagné des mesures conservatoires utiles. Le Commissionnaire ne renonce pas à un recours ni n'accepte un remède hors de ses pouvoirs.</w:t>
      </w:r>
    </w:p>
    <w:p>
      <w:pPr>
        <w:pStyle w:val="Intertitre"/>
      </w:pPr>
      <w:r>
        <w:t xml:space="preserve">Coopération du Commettant</w:t>
      </w:r>
    </w:p>
    <w:p>
      <w:pPr>
        <w:pStyle w:val="Corps"/>
      </w:pPr>
      <w:r>
        <w:t xml:space="preserve">Le Commettant fournit [Coopération du commettant] dans les délais utiles et répond des conséquences directement causées par une information inexacte ou une décision tardive. Le Commettant transmet des informations exactes, les documents, fonds ou biens nécessaires et répond aux demandes de décision. Il signale toute contrainte connue. Les incidences d'un retard ou d'une information erronée sont documentées avant toute adaptation de l'opération.</w:t>
      </w:r>
    </w:p>
    <w:p>
      <w:pPr>
        <w:pStyle w:val="Intertitre"/>
      </w:pPr>
      <w:r>
        <w:t xml:space="preserve">Reporting</w:t>
      </w:r>
    </w:p>
    <w:p>
      <w:pPr>
        <w:pStyle w:val="Corps"/>
      </w:pPr>
      <w:r>
        <w:t xml:space="preserve">Le Commissionnaire transmet [Reporting] et distingue les opérations proposées, approuvées, conclues, exécutées, payées, contestées ou clôturées. Le reporting reste proportionné et permet de suivre décisions, engagements, risques et échéances. Les faits sont distingués des estimations. Le Commettant formule ses observations dans un délai utile sans transformer ce suivi en direction quotidienne des moyens du Commissionnaire.</w:t>
      </w:r>
    </w:p>
    <w:p>
      <w:pPr>
        <w:pStyle w:val="Intertitre"/>
      </w:pPr>
      <w:r>
        <w:t xml:space="preserve">Registres et pièces</w:t>
      </w:r>
    </w:p>
    <w:p>
      <w:pPr>
        <w:pStyle w:val="Corps"/>
      </w:pPr>
      <w:r>
        <w:t xml:space="preserve">Les pièces suivent [Registres et pièces] et permettent de rapprocher instruction, contrat tiers, livraison, facture, paiement, commission, frais et compte rendu. Les documents sont classés par opération, datés et protégés contre l'altération. Les accès sont limités et les durées adaptées aux obligations légales et aux besoins de preuve. Une pièce manquante ou incohérente est signalée dans la reddition des comptes.</w:t>
      </w:r>
    </w:p>
    <w:p>
      <w:pPr>
        <w:pStyle w:val="Intertitre"/>
      </w:pPr>
      <w:r>
        <w:t xml:space="preserve">Fonds — choisir une seule variante</w:t>
      </w:r>
    </w:p>
    <w:p>
      <w:pPr>
        <w:pStyle w:val="Variante"/>
      </w:pPr>
      <w:r>
        <w:t xml:space="preserve">Variante : Absence d'encaissement pour compte</w:t>
      </w:r>
    </w:p>
    <w:p>
      <w:pPr>
        <w:pStyle w:val="Corps"/>
      </w:pPr>
      <w:r>
        <w:t xml:space="preserve">Le Commissionnaire ne reçoit aucun fonds destiné au Commettant et n'accorde aucune compensation sur de tels fonds. Les tiers paient selon les coordonnées officielles communiquées. Tout fonds reçu par erreur est isolé, signalé et restitué ou transféré selon une instruction traçable. Le Commissionnaire ne délivre aucune quittance au nom du Commettant. Les documents de paiement indiquent clairement le bénéficiaire et les coordonnées officielles.</w:t>
      </w:r>
    </w:p>
    <w:p>
      <w:pPr>
        <w:pStyle w:val="Variante"/>
      </w:pPr>
      <w:r>
        <w:t xml:space="preserve">Variante : Encaissement autorisé</w:t>
      </w:r>
    </w:p>
    <w:p>
      <w:pPr>
        <w:pStyle w:val="Corps"/>
      </w:pPr>
      <w:r>
        <w:t xml:space="preserve">Le Commissionnaire peut recevoir les fonds uniquement dans [Encaissement], délivre les justificatifs convenus et interdit tout usage étranger à l'opération. Chaque encaissement est rattaché à une opération, un tiers, une devise et une date. Le Commissionnaire délivre une preuve, applique les contrôles de sécurité et signale tout écart. Aucun fonds n'est utilisé pour ses besoins propres ou compensé sans autorisation.</w:t>
      </w:r>
    </w:p>
    <w:p>
      <w:pPr>
        <w:pStyle w:val="Intertitre"/>
      </w:pPr>
      <w:r>
        <w:t xml:space="preserve">Clause optionnelle : Séparation et rapprochement des fonds</w:t>
      </w:r>
    </w:p>
    <w:p>
      <w:pPr>
        <w:pStyle w:val="Corps"/>
      </w:pPr>
      <w:r>
        <w:t xml:space="preserve">Les fonds reçus suivent [Séparation des fonds] et demeurent identifiables par opération, tiers, devise et date jusqu'à leur reversement. Les comptes ou sous-comptes et la comptabilité permettent d'éviter toute confusion avec les fonds propres. Les rapprochements sont périodiques et les anomalies immédiatement examinées. La séparation n'emporte pas à elle seule transfert de propriété ou garantie contre tout risque.</w:t>
      </w:r>
    </w:p>
    <w:p>
      <w:pPr>
        <w:pStyle w:val="Intertitre"/>
      </w:pPr>
      <w:r>
        <w:t xml:space="preserve">Clause optionnelle : Reversement</w:t>
      </w:r>
    </w:p>
    <w:p>
      <w:pPr>
        <w:pStyle w:val="Corps"/>
      </w:pPr>
      <w:r>
        <w:t xml:space="preserve">Le Commissionnaire reverse les fonds selon [Reversement des fonds] avec un état permettant de distinguer principal, taxes, retenues expressément autorisées et solde. Chaque reversement est accompagné d'un état détaillé et intervient sans retard indu selon le calendrier. Une retenue n'est pratiquée que si son fondement et son montant sont expressément établis. Les frais bancaires et conversions sont traités selon la règle convenue.</w:t>
      </w:r>
    </w:p>
    <w:p>
      <w:pPr>
        <w:pStyle w:val="Intertitre"/>
      </w:pPr>
      <w:r>
        <w:t xml:space="preserve">Reddition des comptes</w:t>
      </w:r>
    </w:p>
    <w:p>
      <w:pPr>
        <w:pStyle w:val="Corps"/>
      </w:pPr>
      <w:r>
        <w:t xml:space="preserve">Le Commissionnaire rend compte selon [Reddition des comptes] et remet les pièces permettant au Commettant de vérifier chaque opération et chaque mouvement. Le compte identifie les engagements, factures, encaissements, reversements, commissions, frais, stocks, garanties et réserves. Les pièces sont accessibles selon des modalités protégeant les secrets de tiers. Toute correction conserve la version et le motif antérieurs.</w:t>
      </w:r>
    </w:p>
    <w:p>
      <w:pPr>
        <w:pStyle w:val="Intertitre"/>
      </w:pPr>
      <w:r>
        <w:t xml:space="preserve">Contestation et correction</w:t>
      </w:r>
    </w:p>
    <w:p>
      <w:pPr>
        <w:pStyle w:val="Corps"/>
      </w:pPr>
      <w:r>
        <w:t xml:space="preserve">Toute contestation suit [Contestation des comptes]. Le silence ne couvre ni fraude, ni erreur indécelable, ni opération non déclarée. La contestation précise l'opération, le poste, le montant et les pièces invoquées. Les parties rapprochent leurs données et corrigent les erreurs établies sans bloquer les sommes non contestées. L'approbation d'un compte ne vaut pas renonciation générale à des faits dissimulés.</w:t>
      </w:r>
    </w:p>
    <w:p>
      <w:pPr>
        <w:pStyle w:val="Intertitre"/>
      </w:pPr>
      <w:r>
        <w:t xml:space="preserve">Clause optionnelle : Garde des marchandises</w:t>
      </w:r>
    </w:p>
    <w:p>
      <w:pPr>
        <w:pStyle w:val="Corps"/>
      </w:pPr>
      <w:r>
        <w:t xml:space="preserve">Les biens confiés suivent [Garde des marchandises] et restent séparés, identifiables, inventoriés et protégés contre perte, détérioration ou saisie injustifiée. Un inventaire décrit la nature, la quantité, l'état, l'emplacement et la valeur des biens. Les mouvements sont tracés et les conditions de stockage adaptées. Toute perte, saisie ou détérioration est signalée avec les mesures prises pour préserver les droits.</w:t>
      </w:r>
    </w:p>
    <w:p>
      <w:pPr>
        <w:pStyle w:val="Intertitre"/>
      </w:pPr>
      <w:r>
        <w:t xml:space="preserve">Clause optionnelle : Propriété et risques</w:t>
      </w:r>
    </w:p>
    <w:p>
      <w:pPr>
        <w:pStyle w:val="Corps"/>
      </w:pPr>
      <w:r>
        <w:t xml:space="preserve">Les parties appliquent [Propriété et risques] sans confondre propriété, garde, transfert des risques et obligations nées du contrat avec le tiers. Le dispositif précise pour chaque étape le titulaire, le gardien, le porteur du risque et l'assuré. Les documents remis au tiers sont cohérents avec cette répartition. Une remise matérielle ne vaut pas automatiquement transfert de propriété ou de risque.</w:t>
      </w:r>
    </w:p>
    <w:p>
      <w:pPr>
        <w:pStyle w:val="Intertitre"/>
      </w:pPr>
      <w:r>
        <w:t xml:space="preserve">Clause optionnelle : Livraison</w:t>
      </w:r>
    </w:p>
    <w:p>
      <w:pPr>
        <w:pStyle w:val="Corps"/>
      </w:pPr>
      <w:r>
        <w:t xml:space="preserve">Les mouvements de biens suivent [Livraison] avec documents, contrôles, réserves et preuve de réception. Les instructions identifient l'expéditeur, le destinataire, l'incoterm éventuel, les délais et les documents. La réception est contrôlée et les réserves sont précises, datées et transmises dans les délais utiles. Les écarts sont rattachés à l'opération concernée.</w:t>
      </w:r>
    </w:p>
    <w:p>
      <w:pPr>
        <w:pStyle w:val="Intertitre"/>
      </w:pPr>
      <w:r>
        <w:t xml:space="preserve">Clause optionnelle : Non-conformité</w:t>
      </w:r>
    </w:p>
    <w:p>
      <w:pPr>
        <w:pStyle w:val="Corps"/>
      </w:pPr>
      <w:r>
        <w:t xml:space="preserve">Le Commissionnaire applique [Non-conformité], protège les recours et n'accepte aucun remède engageant le Commettant hors de ses instructions. Le processus organise la preuve, la notification au tiers, la conservation du bien et l'exercice des recours. Le Commissionnaire consulte le Commettant avant une transaction, un remplacement ou une remise substantielle. Les délais de garantie et de recours sont surveillés.</w:t>
      </w:r>
    </w:p>
    <w:p>
      <w:pPr>
        <w:pStyle w:val="Intertitre"/>
      </w:pPr>
      <w:r>
        <w:t xml:space="preserve">Commission — choisir une seule variante</w:t>
      </w:r>
    </w:p>
    <w:p>
      <w:pPr>
        <w:pStyle w:val="Variante"/>
      </w:pPr>
      <w:r>
        <w:t xml:space="preserve">Variante : Commission proportionnelle</w:t>
      </w:r>
    </w:p>
    <w:p>
      <w:pPr>
        <w:pStyle w:val="Corps"/>
      </w:pPr>
      <w:r>
        <w:t xml:space="preserve">Le Commettant verse [Taux de commission] sur [Assiette de commission] pour les opérations ouvrant droit à rémunération selon [Fait générateur]. Le calcul est reproduit selon [Méthode de calcul de la commission]. Le taux, l'assiette, la devise, les taxes, rabais, avoirs et déductions sont définis de manière reproductible. Chaque montant est rattaché à une opération et au fait générateur. Aucun coût interne non prévu ne réduit unilatéralement l'assiette.</w:t>
      </w:r>
    </w:p>
    <w:p>
      <w:pPr>
        <w:pStyle w:val="Variante"/>
      </w:pPr>
      <w:r>
        <w:t xml:space="preserve">Variante : Commission fixe</w:t>
      </w:r>
    </w:p>
    <w:p>
      <w:pPr>
        <w:pStyle w:val="Corps"/>
      </w:pPr>
      <w:r>
        <w:t xml:space="preserve">Le Commettant verse [Commission fixe] par opération ou période éligible selon [Fait générateur]. Le calcul est reproduit selon [Méthode de calcul de la commission]. Le montant s'applique une seule fois selon l'unité convenue, qui peut être l'opération ou la période. Les opérations partielles, annulées ou renouvelées sont traitées explicitement. Le forfait n'est dû que lorsque le fait générateur est objectivement établi.</w:t>
      </w:r>
    </w:p>
    <w:p>
      <w:pPr>
        <w:pStyle w:val="Variante"/>
      </w:pPr>
      <w:r>
        <w:t xml:space="preserve">Variante : Commission mixte</w:t>
      </w:r>
    </w:p>
    <w:p>
      <w:pPr>
        <w:pStyle w:val="Corps"/>
      </w:pPr>
      <w:r>
        <w:t xml:space="preserve">Le Commettant verse [Commission fixe] et [Taux de commission] sur [Assiette de commission] selon [Fait générateur], sans double rémunération d'une même contrepartie. Le calcul est reproduit selon [Méthode de calcul de la commission]. La part fixe et la part proportionnelle rémunèrent des composantes distinctes ou sont articulées selon une règle claire. Les calculs restent rapprochables des opérations. Une modification ne s'applique pas rétroactivement aux droits déjà nés sans accord exprès.</w:t>
      </w:r>
    </w:p>
    <w:p>
      <w:pPr>
        <w:pStyle w:val="Intertitre"/>
      </w:pPr>
      <w:r>
        <w:t xml:space="preserve">Paiement de la commission</w:t>
      </w:r>
    </w:p>
    <w:p>
      <w:pPr>
        <w:pStyle w:val="Corps"/>
      </w:pPr>
      <w:r>
        <w:t xml:space="preserve">La commission est traitée selon [Paiement de la commission] et rapprochée de la reddition des comptes. Toute retenue sur des fonds reçus doit être expressément autorisée. Le rapprochement repose sur [Justificatifs de la commission]. Le paiement intervient avec un relevé détaillé et dans la devise convenue. Une contestation est motivée sans retarder le montant non contesté. La compensation sur des fonds détenus n'est pratiquée que dans les limites autorisées et apparaît dans la reddition.</w:t>
      </w:r>
    </w:p>
    <w:p>
      <w:pPr>
        <w:pStyle w:val="Intertitre"/>
      </w:pPr>
      <w:r>
        <w:t xml:space="preserve">Frais et débours</w:t>
      </w:r>
    </w:p>
    <w:p>
      <w:pPr>
        <w:pStyle w:val="Corps"/>
      </w:pPr>
      <w:r>
        <w:t xml:space="preserve">Les frais suivent [Frais et débours]. Le Commissionnaire distingue ses charges propres des débours engagés pour une opération et remet les justificatifs requis. La politique distingue les charges propres, les frais autorisés et les débours payés pour le compte du Commettant. Elle précise l'accord préalable, les plafonds, justificatifs, taxes et conversions. Aucun montant n'est remboursé deux fois ou ajouté à l'assiette sans fondement.</w:t>
      </w:r>
    </w:p>
    <w:p>
      <w:pPr>
        <w:pStyle w:val="Intertitre"/>
      </w:pPr>
      <w:r>
        <w:t xml:space="preserve">Clause optionnelle : Garantie ducroire</w:t>
      </w:r>
    </w:p>
    <w:p>
      <w:pPr>
        <w:pStyle w:val="Corps"/>
      </w:pPr>
      <w:r>
        <w:t xml:space="preserve">Le Commissionnaire garantit uniquement dans [Garantie ducroire] la défaillance du tiers et reçoit [Rémunération ducroire] en contrepartie. La garantie n'est ni implicite ni illimitée. La garantie identifie les tiers, opérations, causes de défaillance, montant maximal, durée et exclusions. Elle ne couvre pas une inexécution imputable au Commettant ni un risque non accepté. La rémunération spécifique est distinguée de la commission ordinaire.</w:t>
      </w:r>
    </w:p>
    <w:p>
      <w:pPr>
        <w:pStyle w:val="Intertitre"/>
      </w:pPr>
      <w:r>
        <w:t xml:space="preserve">Clause optionnelle : Privilège du Commissionnaire</w:t>
      </w:r>
    </w:p>
    <w:p>
      <w:pPr>
        <w:pStyle w:val="Corps"/>
      </w:pPr>
      <w:r>
        <w:t xml:space="preserve">Lorsque les conditions légales sont réunies, les droits décrits dans [Privilège du commissionnaire] s'exercent sur la valeur des marchandises objet de l'obligation et les documents s'y rapportant pour les créances couvertes. La clause ne crée pas un privilège au-delà des conditions légales. Les marchandises, documents et créances concernés sont identifiés et leur possession ou maîtrise documentée. Tout exercice est précédé d'une vérification juridique et comptable de son assiette.</w:t>
      </w:r>
    </w:p>
    <w:p>
      <w:pPr>
        <w:pStyle w:val="Intertitre"/>
      </w:pPr>
      <w:r>
        <w:t xml:space="preserve">Clause optionnelle : Sous-commissionnaires</w:t>
      </w:r>
    </w:p>
    <w:p>
      <w:pPr>
        <w:pStyle w:val="Corps"/>
      </w:pPr>
      <w:r>
        <w:t xml:space="preserve">Le Commissionnaire ne délègue qu'en suivant [Sous-commission] et demeure responsable du choix, des instructions et du contrôle des intervenants qu'il mobilise. Le processus précise l'autorisation, l'identité, les compétences, les pouvoirs et les obligations du tiers. Le sous-commissionnaire ne reçoit aucun pouvoir supérieur et respecte confidentialité, données et conformité. Son intervention reste traçable dans les comptes et contrats concernés.</w:t>
      </w:r>
    </w:p>
    <w:p>
      <w:pPr>
        <w:pStyle w:val="Intertitre"/>
      </w:pPr>
      <w:r>
        <w:t xml:space="preserve">Communication et qualité</w:t>
      </w:r>
    </w:p>
    <w:p>
      <w:pPr>
        <w:pStyle w:val="Corps"/>
      </w:pPr>
      <w:r>
        <w:t xml:space="preserve">Le Commissionnaire applique [Communication] et se présente sous sa propre identité sans créer de confusion sur son rôle ou celui du Commettant. Les supports sont datés, approuvés et cohérents avec les contrats tiers. Le Commissionnaire n'utilise aucun signe au-delà de l'autorisation reçue et ne laisse pas croire qu'il représente directement le Commettant. Une version obsolète est retirée.</w:t>
      </w:r>
    </w:p>
    <w:p>
      <w:pPr>
        <w:pStyle w:val="Intertitre"/>
      </w:pPr>
      <w:r>
        <w:t xml:space="preserve">Confidentialité</w:t>
      </w:r>
    </w:p>
    <w:p>
      <w:pPr>
        <w:pStyle w:val="Corps"/>
      </w:pPr>
      <w:r>
        <w:t xml:space="preserve">Chaque partie protège les informations définies dans [Confidentialité], limite leur usage aux opérations et applique les exceptions et durées convenues. L'accès est limité aux personnes ayant besoin d'en connaître et assorti de mesures adaptées. Les informations publiques, déjà connues licitement ou reçues d'un tiers autorisé sont exclues. Une divulgation légalement requise est limitée et, si possible, annoncée.</w:t>
      </w:r>
    </w:p>
    <w:p>
      <w:pPr>
        <w:pStyle w:val="Intertitre"/>
      </w:pPr>
      <w:r>
        <w:t xml:space="preserve">Rôle relatif aux données — choisir une seule variante</w:t>
      </w:r>
    </w:p>
    <w:p>
      <w:pPr>
        <w:pStyle w:val="Variante"/>
      </w:pPr>
      <w:r>
        <w:t xml:space="preserve">Variante : Absence de données personnelles confiées</w:t>
      </w:r>
    </w:p>
    <w:p>
      <w:pPr>
        <w:pStyle w:val="Corps"/>
      </w:pPr>
      <w:r>
        <w:t xml:space="preserve">Aucun traitement de données personnelles n'est confié par une Partie à l'autre. Toute évolution impose une qualification préalable des rôles et la documentation requise. Les coordonnées nécessaires à l'administration du contrat restent traitées par chaque partie sous sa responsabilité. Aucun fichier de clients ou fournisseurs n'est confié pour compte dans cette branche. Tout nouveau flux exige une qualification et une documentation préalables.</w:t>
      </w:r>
    </w:p>
    <w:p>
      <w:pPr>
        <w:pStyle w:val="Variante"/>
      </w:pPr>
      <w:r>
        <w:t xml:space="preserve">Variante : Responsables de traitement autonomes</w:t>
      </w:r>
    </w:p>
    <w:p>
      <w:pPr>
        <w:pStyle w:val="Corps"/>
      </w:pPr>
      <w:r>
        <w:t xml:space="preserve">Pour leurs traitements autonomes, les Parties appliquent [Répartition des rôles autonomes]. Chacune assume ses finalités, moyens, informations, droits et mesures de sécurité. La répartition traite l'information, les droits, la conservation, les destinataires, la sécurité et les incidents. Chaque partie agit pour ses finalités propres. Une évolution créant des instructions pour compte impose une nouvelle qualification avant le traitement concerné.</w:t>
      </w:r>
    </w:p>
    <w:p>
      <w:pPr>
        <w:pStyle w:val="Variante"/>
      </w:pPr>
      <w:r>
        <w:t xml:space="preserve">Variante : Traitement pour compte et DPA</w:t>
      </w:r>
    </w:p>
    <w:p>
      <w:pPr>
        <w:pStyle w:val="Corps"/>
      </w:pPr>
      <w:r>
        <w:t xml:space="preserve">Pour [Objet du traitement], [Sous-traitant RGPD] traite pour le compte de [Responsable de traitement] pendant [Durée du traitement], aux seules fins de [Finalités du traitement], selon [Instructions documentées]. Le traitement porte sur [Catégories de données] et concerne [Catégories de personnes]. Le DPA signé est référencé [Référence du DPA]. Le DPA encadre confidentialité, sécurité, sous-traitants ultérieurs, assistance, incidents, audits et sort des données. Les instructions sont documentées et toute demande illicite est signalée. Le contrat principal ne remplace pas cet accord signé avant traitement.</w:t>
      </w:r>
    </w:p>
    <w:p>
      <w:pPr>
        <w:pStyle w:val="Intertitre"/>
      </w:pPr>
      <w:r>
        <w:t xml:space="preserve">Conformité</w:t>
      </w:r>
    </w:p>
    <w:p>
      <w:pPr>
        <w:pStyle w:val="Corps"/>
      </w:pPr>
      <w:r>
        <w:t xml:space="preserve">Chaque partie applique [Conformité]. Le Commissionnaire refuse toute opération, instruction, paiement ou tiers illicite et conserve les preuves de ses contrôles. Le programme identifie notamment les règles de sanctions, anticorruption, concurrence, fiscalité et secteurs applicables. Les contrôles sont proportionnés et conservés. Une instruction ou opération illicite est refusée, isolée et signalée selon le dispositif retenu.</w:t>
      </w:r>
    </w:p>
    <w:p>
      <w:pPr>
        <w:pStyle w:val="Intertitre"/>
      </w:pPr>
      <w:r>
        <w:t xml:space="preserve">Clause optionnelle : Assurances</w:t>
      </w:r>
    </w:p>
    <w:p>
      <w:pPr>
        <w:pStyle w:val="Corps"/>
      </w:pPr>
      <w:r>
        <w:t xml:space="preserve">Le Commissionnaire maintient [Assurances] pour ses activités, les biens et fonds confiés selon les risques applicables et remet les attestations. Les garanties correspondent aux opérations, territoires, biens, fonds et responsabilités confiés. Le Commissionnaire informe d'une suspension ou réduction substantielle. La remise d'une attestation ne valide pas l'étendue de la couverture et ne limite pas les obligations contractuelles.</w:t>
      </w:r>
    </w:p>
    <w:p>
      <w:pPr>
        <w:pStyle w:val="Intertitre"/>
      </w:pPr>
      <w:r>
        <w:t xml:space="preserve">Régime de responsabilité — choisir une seule variante</w:t>
      </w:r>
    </w:p>
    <w:p>
      <w:pPr>
        <w:pStyle w:val="Variante"/>
      </w:pPr>
      <w:r>
        <w:t xml:space="preserve">Variante : Responsabilité plafonnée</w:t>
      </w:r>
    </w:p>
    <w:p>
      <w:pPr>
        <w:pStyle w:val="Corps"/>
      </w:pPr>
      <w:r>
        <w:t xml:space="preserve">Chaque partie répond des dommages directs causés par ses manquements prouvés. Sous réserve de [Exclusions du plafond], le plafond négocié est [Plafond de responsabilité] sans couvrir une faute lourde ou dolosive ni réduire une obligation impérative. Le plafond et son assiette sont interprétés selon le risque négocié. Les exclusions ne peuvent neutraliser une obligation essentielle ou une règle impérative. Chaque partie limite raisonnablement son dommage et conserve les preuves du manquement, du préjudice et du lien causal.</w:t>
      </w:r>
    </w:p>
    <w:p>
      <w:pPr>
        <w:pStyle w:val="Variante"/>
      </w:pPr>
      <w:r>
        <w:t xml:space="preserve">Variante : Responsabilité sans plafond contractuel</w:t>
      </w:r>
    </w:p>
    <w:p>
      <w:pPr>
        <w:pStyle w:val="Corps"/>
      </w:pPr>
      <w:r>
        <w:t xml:space="preserve">Chaque Partie répond des dommages directs causés par ses manquements prouvés, sans plafond contractuel, sous réserve de [Exclusions et droits impératifs] et des règles impératives applicables. L'absence de plafond général ne crée aucune responsabilité automatique ni garantie de réussite. Chaque demande suppose la preuve de ses conditions. La partie affectée limite raisonnablement l'aggravation du dommage et informe l'autre dans un délai utile.</w:t>
      </w:r>
    </w:p>
    <w:p>
      <w:pPr>
        <w:pStyle w:val="Intertitre"/>
      </w:pPr>
      <w:r>
        <w:t xml:space="preserve">Force majeure</w:t>
      </w:r>
    </w:p>
    <w:p>
      <w:pPr>
        <w:pStyle w:val="Corps"/>
      </w:pPr>
      <w:r>
        <w:t xml:space="preserve">La partie empêchée suit [Force majeure], notifie, atténue les effets et sécurise les contrats, biens et fonds déjà engagés. La notification identifie l'événement, les obligations empêchées, sa durée et les mesures d'atténuation. Seules les tâches effectivement impossibles sont suspendues. Les parties protègent les tiers et actifs déjà engagés puis organisent les conséquences d'un empêchement durable.</w:t>
      </w:r>
    </w:p>
    <w:p>
      <w:pPr>
        <w:pStyle w:val="Intertitre"/>
      </w:pPr>
      <w:r>
        <w:t xml:space="preserve">Durée — choisir une seule variante</w:t>
      </w:r>
    </w:p>
    <w:p>
      <w:pPr>
        <w:pStyle w:val="Variante"/>
      </w:pPr>
      <w:r>
        <w:t xml:space="preserve">Variante : Durée déterminée</w:t>
      </w:r>
    </w:p>
    <w:p>
      <w:pPr>
        <w:pStyle w:val="Corps"/>
      </w:pPr>
      <w:r>
        <w:t xml:space="preserve">Le contrat prend effet le [Date de prise d'effet] pour [Durée déterminée]. Les opérations acceptées avant le terme sont traitées selon les règles de clôture. Le terme déclenche l'inventaire des opérations, fonds, biens, comptes et garanties en cours. Les droits nés et clauses survivantes demeurent applicables. Toute prolongation est constatée selon les modalités convenues et ne résulte pas d'une simple absence de clôture administrative.</w:t>
      </w:r>
    </w:p>
    <w:p>
      <w:pPr>
        <w:pStyle w:val="Variante"/>
      </w:pPr>
      <w:r>
        <w:t xml:space="preserve">Variante : Durée indéterminée</w:t>
      </w:r>
    </w:p>
    <w:p>
      <w:pPr>
        <w:pStyle w:val="Corps"/>
      </w:pPr>
      <w:r>
        <w:t xml:space="preserve">Le contrat prend effet le [Date de prise d'effet] sans terme et peut cesser moyennant [Préavis], sous réserve des conséquences d'une relation commerciale établie. La notification est écrite, prouvée et tient compte de la durée effective, des usages et des circonstances. Pendant le préavis, les opérations séparables se poursuivent loyalement et la clôture est préparée. Une réduction substantielle peut être analysée comme une rupture partielle.</w:t>
      </w:r>
    </w:p>
    <w:p>
      <w:pPr>
        <w:pStyle w:val="Intertitre"/>
      </w:pPr>
      <w:r>
        <w:t xml:space="preserve">Résiliation pour manquement</w:t>
      </w:r>
    </w:p>
    <w:p>
      <w:pPr>
        <w:pStyle w:val="Corps"/>
      </w:pPr>
      <w:r>
        <w:t xml:space="preserve">Toute inexécution est traitée selon [Manquement]. La résiliation immédiate demeure réservée aux manquements suffisamment graves ou non remédiables, appréciés sur preuve. La notification décrit les faits, les obligations méconnues et le délai de régularisation lorsqu'il est pertinent. Les conséquences sont individualisées par opération. La cessation n'efface ni les engagements envers les tiers, ni les comptes, fonds, biens et obligations survivantes.</w:t>
      </w:r>
    </w:p>
    <w:p>
      <w:pPr>
        <w:pStyle w:val="Intertitre"/>
      </w:pPr>
      <w:r>
        <w:t xml:space="preserve">Opérations en cours</w:t>
      </w:r>
    </w:p>
    <w:p>
      <w:pPr>
        <w:pStyle w:val="Corps"/>
      </w:pPr>
      <w:r>
        <w:t xml:space="preserve">À la cessation, les parties appliquent [Opérations en cours] pour chaque contrat tiers, commande, livraison, réclamation, fonds et garantie en cours. Un inventaire contradictoire indique l'état, les prochaines étapes, les responsabilités, les fonds et les délais de chaque opération. Aucune instruction ne prive un tiers de ses droits. Les décisions de poursuite, transfert ou clôture sont prouvées.</w:t>
      </w:r>
    </w:p>
    <w:p>
      <w:pPr>
        <w:pStyle w:val="Intertitre"/>
      </w:pPr>
      <w:r>
        <w:t xml:space="preserve">Compte définitif</w:t>
      </w:r>
    </w:p>
    <w:p>
      <w:pPr>
        <w:pStyle w:val="Corps"/>
      </w:pPr>
      <w:r>
        <w:t xml:space="preserve">Le Commissionnaire remet [Compte définitif] et règle le solde après rapprochement des opérations, fonds, commissions, frais, biens et réserves. Le compte définitif comporte un détail par opération et conserve les réserves encore ouvertes. Les sommes non contestées sont réglées sans attendre la clôture d'un différend séparé. Toute correction ultérieure est justifiée et rattachée à sa version antérieure.</w:t>
      </w:r>
    </w:p>
    <w:p>
      <w:pPr>
        <w:pStyle w:val="Intertitre"/>
      </w:pPr>
      <w:r>
        <w:t xml:space="preserve">Restitution</w:t>
      </w:r>
    </w:p>
    <w:p>
      <w:pPr>
        <w:pStyle w:val="Corps"/>
      </w:pPr>
      <w:r>
        <w:t xml:space="preserve">Le Commissionnaire applique [Restitution] pour les fonds, biens, documents, accès et supports confiés, sous réserve des droits légalement opposables. Un inventaire identifie ce qui est restitué, transféré, supprimé ou conservé pour preuve. Les informations restent protégées après cessation. Les droits légalement opposables sont exercés uniquement après vérification de leurs conditions et sans appropriation de biens étrangers.</w:t>
      </w:r>
    </w:p>
    <w:p>
      <w:pPr>
        <w:pStyle w:val="Intertitre"/>
      </w:pPr>
      <w:r>
        <w:t xml:space="preserve">Cession du contrat</w:t>
      </w:r>
    </w:p>
    <w:p>
      <w:pPr>
        <w:pStyle w:val="Corps"/>
      </w:pPr>
      <w:r>
        <w:t xml:space="preserve">La cession du contrat suit [Procédure de cession du contrat]. Elle n'altère pas les obligations déjà nées ni les droits des tiers sans leur accord lorsqu'il est requis. Le projet identifie le cessionnaire, le périmètre, la date et le traitement des opérations en cours. Les autorisations nécessaires sont recueillies. La cession ne libère pas une partie de ses obligations antérieures sans accord valable des personnes concernées.</w:t>
      </w:r>
    </w:p>
    <w:p>
      <w:pPr>
        <w:pStyle w:val="Intertitre"/>
      </w:pPr>
      <w:r>
        <w:t xml:space="preserve">Notifications</w:t>
      </w:r>
    </w:p>
    <w:p>
      <w:pPr>
        <w:pStyle w:val="Corps"/>
      </w:pPr>
      <w:r>
        <w:t xml:space="preserve">Les notifications sont adressées à [Notifications] par un moyen établissant leur contenu, leur date et leur réception. Chaque partie actualise ses coordonnées. Une notification mentionne son objet, le contrat et, lorsqu'elle fait courir un délai, les faits et la date d'effet invoqués. Une communication opérationnelle ne remplace pas la forme exigée pour une résiliation ou une contestation. Les preuves sont conservées.</w:t>
      </w:r>
    </w:p>
    <w:p>
      <w:pPr>
        <w:pStyle w:val="Intertitre"/>
      </w:pPr>
      <w:r>
        <w:t xml:space="preserve">Documents contractuels</w:t>
      </w:r>
    </w:p>
    <w:p>
      <w:pPr>
        <w:pStyle w:val="Corps"/>
      </w:pPr>
      <w:r>
        <w:t xml:space="preserve">Le contrat, les instructions approuvées, annexes et opérations acceptées organisent la commission. Une instruction ne modifie pas seule la rémunération, la durée ou l'étendue générale des risques. Les documents sont classés selon un ordre de priorité et leurs versions sont identifiées. Un échange préparatoire ne modifie pas le contrat sans accord habilité. Une instruction opérationnelle reste subordonnée aux limites générales et ne crée pas une garantie ou un pouvoir nouveau.</w:t>
      </w:r>
    </w:p>
    <w:p>
      <w:pPr>
        <w:pStyle w:val="Intertitre"/>
      </w:pPr>
      <w:r>
        <w:t xml:space="preserve">Bonne foi</w:t>
      </w:r>
    </w:p>
    <w:p>
      <w:pPr>
        <w:pStyle w:val="Corps"/>
      </w:pPr>
      <w:r>
        <w:t xml:space="preserve">Les parties exécutent loyalement le contrat, communiquent les informations déterminantes et s'abstiennent de détourner une opération, un fonds, un bien ou une preuve au détriment de l'autre. Le Commettant communique les informations et décisions qu'il contrôle. Le Commissionnaire rend compte sans dissimuler un avantage ou un risque. Chacun coopère à la correction d'une erreur, sans détourner le contrat tiers ni la reddition des comptes.</w:t>
      </w:r>
    </w:p>
    <w:p>
      <w:pPr>
        <w:pStyle w:val="Intertitre"/>
      </w:pPr>
      <w:r>
        <w:t xml:space="preserve">Divisibilité des stipulations</w:t>
      </w:r>
    </w:p>
    <w:p>
      <w:pPr>
        <w:pStyle w:val="Corps"/>
      </w:pPr>
      <w:r>
        <w:t xml:space="preserve">La nullité, l'inopposabilité ou l'inefficacité d'une stipulation n'affecte les autres stipulations que si l'économie du contrat ne peut être maintenue. Les Parties recherchent une stipulation licite d'effet comparable. La solution de remplacement respecte l'intention commune sans étendre les pouvoirs, garanties ou renonciations. Les parties documentent l'adaptation et ses effets sur les opérations en cours. Aucune correction ne valide rétroactivement une opération illicite ou hors pouvoir.</w:t>
      </w:r>
    </w:p>
    <w:p>
      <w:pPr>
        <w:pStyle w:val="Intertitre"/>
      </w:pPr>
      <w:r>
        <w:t xml:space="preserve">Droit applicable et juridictions</w:t>
      </w:r>
    </w:p>
    <w:p>
      <w:pPr>
        <w:pStyle w:val="Corps"/>
      </w:pPr>
      <w:r>
        <w:t xml:space="preserve">Le contrat est soumis à [Droit applicable]. Les litiges relèvent de [Juridictions compétentes] sous réserve des lois de police, opérations internationales et règles impératives. Avant toute saisine, les parties peuvent échanger sans laisser expirer un délai impératif. La clause de compétence n'est appliquée que si ses conditions de validité sont établies. Elle ne modifie ni une loi de police ni les droits des tiers aux opérations.</w:t>
      </w:r>
    </w:p>
    <w:p>
      <w:pPr>
        <w:pStyle w:val="Intertitre"/>
      </w:pPr>
      <w:r>
        <w:t xml:space="preserve">Annexes</w:t>
      </w:r>
    </w:p>
    <w:p>
      <w:pPr>
        <w:pStyle w:val="Corps"/>
      </w:pPr>
      <w:r>
        <w:t xml:space="preserve">Lorsqu'elles sont retenues, les annexes relatives à la mission, aux produits ou services, aux instructions, aux contrats avec les tiers, aux contrôles, aux fonds, à la reddition des comptes, aux biens, à la rémunération, aux frais, aux garanties, aux données et aux opérations en cours sont identifiées, datées et rattachées au contrat signé. Chaque annexe est numérotée, datée, versionnée et signée ou paraphée selon le procédé retenu. L'ordre de priorité et les contradictions sont traités. Une instruction, un barème ou un inventaire non identifié n'est pas réputé accepté et chaque mise à jour reste traçable.</w:t>
      </w:r>
    </w:p>
    <w:p>
      <w:pPr>
        <w:pStyle w:val="Intertitre"/>
      </w:pPr>
      <w:r>
        <w:t xml:space="preserve">Signature du Commettant — choisir une seule variante</w:t>
      </w:r>
    </w:p>
    <w:p>
      <w:pPr>
        <w:pStyle w:val="Variante"/>
      </w:pPr>
      <w:r>
        <w:t xml:space="preserve">Variante : Signature du Commettant personne physique</w:t>
      </w:r>
    </w:p>
    <w:p>
      <w:pPr>
        <w:pStyle w:val="Corps"/>
      </w:pPr>
      <w:r>
        <w:t xml:space="preserve">Fait à [Lieu de signature], le [Date de signature], sous la référence [Référence du contrat]. Le Commettant, [Identité du Commettant personne physique], signe la version définitive et ses annexes opposables. Le Commettant personne physique signe en son nom propre, déclare avoir contrôlé les instructions et reçoit un exemplaire complet. Le procédé permet son identification, la datation, l'intégrité de l'acte et la conservation de la preuve.</w:t>
      </w:r>
    </w:p>
    <w:p>
      <w:pPr>
        <w:pStyle w:val="Variante"/>
      </w:pPr>
      <w:r>
        <w:t xml:space="preserve">Variante : Signature du Commettant personne morale</w:t>
      </w:r>
    </w:p>
    <w:p>
      <w:pPr>
        <w:pStyle w:val="Corps"/>
      </w:pPr>
      <w:r>
        <w:t xml:space="preserve">Fait à [Lieu de signature], le [Date de signature], sous la référence [Référence du contrat]. Pour le Commettant, [Représentant du Commettant] signe en sa qualité et avec les pouvoirs vérifiés. La signature distingue la personne morale, l'identité et la qualité du représentant. Celui-ci déclare son pouvoir et reçoit le contrat avec ses annexes. Le procédé garantit l'identification, la date, l'intégrité et la conservation de l'acte.</w:t>
      </w:r>
    </w:p>
    <w:p>
      <w:pPr>
        <w:pStyle w:val="Intertitre"/>
      </w:pPr>
      <w:r>
        <w:t xml:space="preserve">Signature du Commissionnaire — choisir une seule variante</w:t>
      </w:r>
    </w:p>
    <w:p>
      <w:pPr>
        <w:pStyle w:val="Variante"/>
      </w:pPr>
      <w:r>
        <w:t xml:space="preserve">Variante : Signature du Commissionnaire personne physique</w:t>
      </w:r>
    </w:p>
    <w:p>
      <w:pPr>
        <w:pStyle w:val="Corps"/>
      </w:pPr>
      <w:r>
        <w:t xml:space="preserve">Le Commissionnaire, [Identité du Commissionnaire personne physique], signe la version définitive après contrôle des instructions et annexes opposables. Il signe en son nom propre et déclare avoir contrôlé les pouvoirs, instructions, opérations et annexes. La signature permet son identification, la datation de son consentement, l'intégrité de la version et la conservation de la preuve.</w:t>
      </w:r>
    </w:p>
    <w:p>
      <w:pPr>
        <w:pStyle w:val="Variante"/>
      </w:pPr>
      <w:r>
        <w:t xml:space="preserve">Variante : Signature du Commissionnaire personne morale</w:t>
      </w:r>
    </w:p>
    <w:p>
      <w:pPr>
        <w:pStyle w:val="Corps"/>
      </w:pPr>
      <w:r>
        <w:t xml:space="preserve">Pour le Commissionnaire, [Représentant du Commissionnaire] signe en sa qualité et avec les pouvoirs vérifiés, après contrôle des annexes opposables. La signature distingue la personne morale, l'identité et la qualité du représentant. Celui-ci déclare son pouvoir et le contrôle des annexes. Le procédé garantit l'identification, la date, l'intégrité et la conservation de l'acte.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