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LOCATION-GÉRANCE</w:t>
      </w:r>
    </w:p>
    <w:p>
      <w:pPr>
        <w:pStyle w:val="Intertitre"/>
      </w:pPr>
      <w:r>
        <w:t xml:space="preserve">Loueur du fonds</w:t>
      </w:r>
    </w:p>
    <w:p>
      <w:pPr>
        <w:pStyle w:val="Corps"/>
      </w:pPr>
      <w:r>
        <w:t xml:space="preserve">Le fonds est donné en location-gérance par [Loueur du fonds], [Forme ou état civil du Loueur], domicilié ou ayant son siège [Adresse du Loueur], immatriculé sous la référence [Immatriculation du Loueur], représenté par [Représentant du Loueur], agissant en qualité de [Qualité du représentant du Loueur], ci-après le Loueur.</w:t>
      </w:r>
    </w:p>
    <w:p>
      <w:pPr>
        <w:pStyle w:val="Intertitre"/>
      </w:pPr>
      <w:r>
        <w:t xml:space="preserve">Locataire-gérant</w:t>
      </w:r>
    </w:p>
    <w:p>
      <w:pPr>
        <w:pStyle w:val="Corps"/>
      </w:pPr>
      <w:r>
        <w:t xml:space="preserve">Le fonds est pris en location-gérance par [Locataire-gérant], [Forme ou état civil du Locataire-gérant], domicilié ou ayant son siège [Adresse du Locataire-gérant], immatriculé ou destiné à être immatriculé sous la référence [Immatriculation du Locataire-gérant], représenté par [Représentant du Locataire-gérant], agissant en qualité de [Qualité du représentant du Locataire-gérant], ci-après le Locataire-gérant.</w:t>
      </w:r>
    </w:p>
    <w:p>
      <w:pPr>
        <w:pStyle w:val="Intertitre"/>
      </w:pPr>
      <w:r>
        <w:t xml:space="preserve">Capacité et pouvoirs</w:t>
      </w:r>
    </w:p>
    <w:p>
      <w:pPr>
        <w:pStyle w:val="Corps"/>
      </w:pPr>
      <w:r>
        <w:t xml:space="preserve">Chaque partie déclare disposer de la capacité et des pouvoirs nécessaires pour conclure et exécuter le contrat. Les décisions sociales, mandats et justificatifs correspondants sont annexés ou conservés avec l'exemplaire signé.</w:t>
      </w:r>
    </w:p>
    <w:p>
      <w:pPr>
        <w:pStyle w:val="Intertitre"/>
      </w:pPr>
      <w:r>
        <w:t xml:space="preserve">Identification du fonds</w:t>
      </w:r>
    </w:p>
    <w:p>
      <w:pPr>
        <w:pStyle w:val="Corps"/>
      </w:pPr>
      <w:r>
        <w:t xml:space="preserve">Le fonds concerné est exploité sous le nom commercial ou l'enseigne [Nom commercial ou enseigne], pour l'activité [Activité du fonds], à l'adresse [Adresse d'exploitation], sous les références d'immatriculation [Immatriculation du fonds ou établissement].</w:t>
      </w:r>
    </w:p>
    <w:p>
      <w:pPr>
        <w:pStyle w:val="Intertitre"/>
      </w:pPr>
      <w:r>
        <w:t xml:space="preserve">Titre du Loueur sur le fonds — choisir une seule variante</w:t>
      </w:r>
    </w:p>
    <w:p>
      <w:pPr>
        <w:pStyle w:val="Variante"/>
      </w:pPr>
      <w:r>
        <w:t xml:space="preserve">Variante : Origine de propriété</w:t>
      </w:r>
    </w:p>
    <w:p>
      <w:pPr>
        <w:pStyle w:val="Corps"/>
      </w:pPr>
      <w:r>
        <w:t xml:space="preserve">Le Loueur déclare être propriétaire du fonds pour l'avoir créé ou acquis le [Date d'origine du fonds] dans les circonstances suivantes : [Origine de propriété du fonds]. Le titre correspondant est référencé [Référence du titre d'origine].</w:t>
      </w:r>
    </w:p>
    <w:p>
      <w:pPr>
        <w:pStyle w:val="Variante"/>
      </w:pPr>
      <w:r>
        <w:t xml:space="preserve">Variante : Titre de l'exploitant autorisé</w:t>
      </w:r>
    </w:p>
    <w:p>
      <w:pPr>
        <w:pStyle w:val="Corps"/>
      </w:pPr>
      <w:r>
        <w:t xml:space="preserve">Le Loueur déclare exploiter licitement le fonds sans en être propriétaire en vertu du titre [Titre autorisant le Loueur à exploiter], lequel l'autorise expressément à en confier l'exploitation. Le titre et l'autorisation sont annexés et contrôlés avant signature. Le contrôle du titre est [Justificatif du titre du Loueur].</w:t>
      </w:r>
    </w:p>
    <w:p>
      <w:pPr>
        <w:pStyle w:val="Intertitre"/>
      </w:pPr>
      <w:r>
        <w:t xml:space="preserve">Propriété et charges</w:t>
      </w:r>
    </w:p>
    <w:p>
      <w:pPr>
        <w:pStyle w:val="Corps"/>
      </w:pPr>
      <w:r>
        <w:t xml:space="preserve">Le Loueur déclare que les charges, inscriptions, restrictions et litiges affectant le fonds sont les suivants : [Charges grevant le fonds]. Le Locataire-gérant reconnaît que cette déclaration ne remplace pas les états et vérifications annexés.</w:t>
      </w:r>
    </w:p>
    <w:p>
      <w:pPr>
        <w:pStyle w:val="Intertitre"/>
      </w:pPr>
      <w:r>
        <w:t xml:space="preserve">Qualification de location-gérance</w:t>
      </w:r>
    </w:p>
    <w:p>
      <w:pPr>
        <w:pStyle w:val="Corps"/>
      </w:pPr>
      <w:r>
        <w:t xml:space="preserve">Les parties qualifient l'opération de location-gérance parce qu'elle porte sur un fonds identifiable confié à un exploitant autonome qui en assume les risques. Elles écartent toute stipulation incompatible avec cette qualification et confirment le pouvoir du Loueur de consentir le contrat.</w:t>
      </w:r>
    </w:p>
    <w:p>
      <w:pPr>
        <w:pStyle w:val="Intertitre"/>
      </w:pPr>
      <w:r>
        <w:t xml:space="preserve">Clientèle et achalandage</w:t>
      </w:r>
    </w:p>
    <w:p>
      <w:pPr>
        <w:pStyle w:val="Corps"/>
      </w:pPr>
      <w:r>
        <w:t xml:space="preserve">La jouissance concédée comprend la clientèle et l'achalandage décrits comme suit : [Clientèle et achalandage]. Le Locataire-gérant doit maintenir leur rattachement au fonds et ne peut les détourner au profit d'une activité étrangère au contrat.</w:t>
      </w:r>
    </w:p>
    <w:p>
      <w:pPr>
        <w:pStyle w:val="Intertitre"/>
      </w:pPr>
      <w:r>
        <w:t xml:space="preserve">Éléments compris</w:t>
      </w:r>
    </w:p>
    <w:p>
      <w:pPr>
        <w:pStyle w:val="Corps"/>
      </w:pPr>
      <w:r>
        <w:t xml:space="preserve">Le périmètre de la location-gérance comprend les éléments suivants : [Éléments compris]. Il est limité aux biens et droits expressément identifiés dans le contrat et ses annexes, sans transfert de leur propriété.</w:t>
      </w:r>
    </w:p>
    <w:p>
      <w:pPr>
        <w:pStyle w:val="Intertitre"/>
      </w:pPr>
      <w:r>
        <w:t xml:space="preserve">Matériel, mobilier et agencements</w:t>
      </w:r>
    </w:p>
    <w:p>
      <w:pPr>
        <w:pStyle w:val="Corps"/>
      </w:pPr>
      <w:r>
        <w:t xml:space="preserve">Le matériel, le mobilier et les agencements remis au Locataire-gérant sont décrits dans l'inventaire suivant : [Inventaire du matériel]. Leur remise, leur état apparent et les réserves sont constatés contradictoirement à la prise d'effet.</w:t>
      </w:r>
    </w:p>
    <w:p>
      <w:pPr>
        <w:pStyle w:val="Intertitre"/>
      </w:pPr>
      <w:r>
        <w:t xml:space="preserve">Clause optionnelle : Signes distinctifs et actifs numériques</w:t>
      </w:r>
    </w:p>
    <w:p>
      <w:pPr>
        <w:pStyle w:val="Corps"/>
      </w:pPr>
      <w:r>
        <w:t xml:space="preserve">Le Locataire-gérant est autorisé, pour la seule durée et les seuls besoins de l'exploitation, à utiliser les actifs suivants : [Actifs intellectuels et numériques]. Aucun droit de propriété n'est cédé et les accès doivent être restitués à la fin du contrat.</w:t>
      </w:r>
    </w:p>
    <w:p>
      <w:pPr>
        <w:pStyle w:val="Intertitre"/>
      </w:pPr>
      <w:r>
        <w:t xml:space="preserve">Éléments exclus</w:t>
      </w:r>
    </w:p>
    <w:p>
      <w:pPr>
        <w:pStyle w:val="Corps"/>
      </w:pPr>
      <w:r>
        <w:t xml:space="preserve">Sont exclus de la location-gérance : [Éléments exclus]. Sauf stipulation expresse, les créances et dettes antérieures, disponibilités, comptes bancaires, documents personnels et biens non inventoriés demeurent hors du périmètre.</w:t>
      </w:r>
    </w:p>
    <w:p>
      <w:pPr>
        <w:pStyle w:val="Intertitre"/>
      </w:pPr>
      <w:r>
        <w:t xml:space="preserve">Statut des locaux — choisir une seule variante</w:t>
      </w:r>
    </w:p>
    <w:p>
      <w:pPr>
        <w:pStyle w:val="Variante"/>
      </w:pPr>
      <w:r>
        <w:t xml:space="preserve">Variante : Occupation de locaux appartenant au Loueur</w:t>
      </w:r>
    </w:p>
    <w:p>
      <w:pPr>
        <w:pStyle w:val="Corps"/>
      </w:pPr>
      <w:r>
        <w:t xml:space="preserve">Le Loueur met à disposition les locaux attachés au fonds selon les conditions suivantes : [Conditions d'occupation des locaux appartenant au Loueur]. Cette occupation est l'accessoire de la location-gérance et prend fin avec elle, sans conférer au Locataire-gérant un droit réel sur les locaux.</w:t>
      </w:r>
    </w:p>
    <w:p>
      <w:pPr>
        <w:pStyle w:val="Variante"/>
      </w:pPr>
      <w:r>
        <w:t xml:space="preserve">Variante : Exploitation dans des locaux pris à bail</w:t>
      </w:r>
    </w:p>
    <w:p>
      <w:pPr>
        <w:pStyle w:val="Corps"/>
      </w:pPr>
      <w:r>
        <w:t xml:space="preserve">Le fonds est exploité dans des locaux occupés en vertu du bail signé le [Date du bail des locaux], référencé [Référence du bail], consenti par [Bailleur des locaux], venant à échéance le [Échéance du bail]. Sa destination est [Destination du bail] et les obligations utiles à la gérance sont : [Obligations locatives applicables].</w:t>
      </w:r>
    </w:p>
    <w:p>
      <w:pPr>
        <w:pStyle w:val="Intertitre"/>
      </w:pPr>
      <w:r>
        <w:t xml:space="preserve">Clause optionnelle : Accord ou concours du Bailleur des locaux</w:t>
      </w:r>
    </w:p>
    <w:p>
      <w:pPr>
        <w:pStyle w:val="Corps"/>
      </w:pPr>
      <w:r>
        <w:t xml:space="preserve">L'accord, le concours ou l'information du Bailleur requis par le bail est établi par le document référencé [Accord du Bailleur]. La prise d'effet demeure subordonnée à l'accomplissement de cette exigence lorsque son défaut compromet l'exploitation licite du fonds.</w:t>
      </w:r>
    </w:p>
    <w:p>
      <w:pPr>
        <w:pStyle w:val="Intertitre"/>
      </w:pPr>
      <w:r>
        <w:t xml:space="preserve">Mise en location-gérance</w:t>
      </w:r>
    </w:p>
    <w:p>
      <w:pPr>
        <w:pStyle w:val="Corps"/>
      </w:pPr>
      <w:r>
        <w:t xml:space="preserve">Le Loueur concède au Locataire-gérant, qui l'accepte, l'exploitation du fonds à compter du [Date de début de la gérance]. Le Locataire-gérant l'exploite en son nom, pour son compte et à ses risques et périls, conformément au régime de la location-gérance.</w:t>
      </w:r>
    </w:p>
    <w:p>
      <w:pPr>
        <w:pStyle w:val="Intertitre"/>
      </w:pPr>
      <w:r>
        <w:t xml:space="preserve">Remise du fonds</w:t>
      </w:r>
    </w:p>
    <w:p>
      <w:pPr>
        <w:pStyle w:val="Corps"/>
      </w:pPr>
      <w:r>
        <w:t xml:space="preserve">À la prise d'effet, les parties constatent la remise des éléments suivants : [Remises à la prise d'effet]. Les compteurs et abonnements sont arrêtés selon [Relevés de compteurs], et les prorata d'exploitation sont calculés conformément à [Prorata d'exploitation].</w:t>
      </w:r>
    </w:p>
    <w:p>
      <w:pPr>
        <w:pStyle w:val="Intertitre"/>
      </w:pPr>
      <w:r>
        <w:t xml:space="preserve">Absence de transfert de propriété</w:t>
      </w:r>
    </w:p>
    <w:p>
      <w:pPr>
        <w:pStyle w:val="Corps"/>
      </w:pPr>
      <w:r>
        <w:t xml:space="preserve">Le contrat confère une jouissance temporaire du fonds et n'en transfère pas la propriété. Le Locataire-gérant ne peut vendre, apporter, nantir ou sous-louer le fonds ni disposer des éléments du Loueur hors des actes ordinaires d'exploitation autorisés.</w:t>
      </w:r>
    </w:p>
    <w:p>
      <w:pPr>
        <w:pStyle w:val="Intertitre"/>
      </w:pPr>
      <w:r>
        <w:t xml:space="preserve">Exploitation indépendante</w:t>
      </w:r>
    </w:p>
    <w:p>
      <w:pPr>
        <w:pStyle w:val="Corps"/>
      </w:pPr>
      <w:r>
        <w:t xml:space="preserve">Le Locataire-gérant organise l'exploitation sous sa responsabilité, supporte ses charges et ses risques et contracte avec les tiers en son propre nom. Il ne peut se présenter comme mandataire, salarié, associé ou représentant permanent du Loueur.</w:t>
      </w:r>
    </w:p>
    <w:p>
      <w:pPr>
        <w:pStyle w:val="Intertitre"/>
      </w:pPr>
      <w:r>
        <w:t xml:space="preserve">Conservation de la substance du fonds</w:t>
      </w:r>
    </w:p>
    <w:p>
      <w:pPr>
        <w:pStyle w:val="Corps"/>
      </w:pPr>
      <w:r>
        <w:t xml:space="preserve">Le Locataire-gérant exploite effectivement et loyalement le fonds, maintient la clientèle, l'enseigne, les moyens indispensables et la réputation commerciale, et avertit sans délai le Loueur de tout événement susceptible d'en compromettre la valeur.</w:t>
      </w:r>
    </w:p>
    <w:p>
      <w:pPr>
        <w:pStyle w:val="Intertitre"/>
      </w:pPr>
      <w:r>
        <w:t xml:space="preserve">Conduite de l'activité</w:t>
      </w:r>
    </w:p>
    <w:p>
      <w:pPr>
        <w:pStyle w:val="Corps"/>
      </w:pPr>
      <w:r>
        <w:t xml:space="preserve">Le Locataire-gérant respecte la destination [Activité du fonds], les horaires, normes professionnelles, règles de sécurité et prescriptions administratives applicables. Toute modification substantielle de l'activité ou de l'organisation exige l'accord préalable prévu au contrat.</w:t>
      </w:r>
    </w:p>
    <w:p>
      <w:pPr>
        <w:pStyle w:val="Intertitre"/>
      </w:pPr>
      <w:r>
        <w:t xml:space="preserve">Clause optionnelle : Activité réglementée</w:t>
      </w:r>
    </w:p>
    <w:p>
      <w:pPr>
        <w:pStyle w:val="Corps"/>
      </w:pPr>
      <w:r>
        <w:t xml:space="preserve">L'exploitation dépend des autorisations, licences ou qualifications suivantes : [Autorisations réglementaires]. Le Locataire-gérant doit justifier avant la prise d'effet qu'il en est titulaire ou bénéficiaire dans des conditions permettant l'exploitation licite. Les preuves sont [Justificatif des autorisations].</w:t>
      </w:r>
    </w:p>
    <w:p>
      <w:pPr>
        <w:pStyle w:val="Intertitre"/>
      </w:pPr>
      <w:r>
        <w:t xml:space="preserve">Interdiction de déléguer la gérance</w:t>
      </w:r>
    </w:p>
    <w:p>
      <w:pPr>
        <w:pStyle w:val="Corps"/>
      </w:pPr>
      <w:r>
        <w:t xml:space="preserve">Le Locataire-gérant ne peut céder le contrat, confier la gérance à un tiers ni consentir une sous-location du fonds sans accord écrit du Loueur et accomplissement des formalités nécessaires. Ses prestataires restent sous sa seule responsabilité.</w:t>
      </w:r>
    </w:p>
    <w:p>
      <w:pPr>
        <w:pStyle w:val="Intertitre"/>
      </w:pPr>
      <w:r>
        <w:t xml:space="preserve">Durée du contrat — choisir une seule variante</w:t>
      </w:r>
    </w:p>
    <w:p>
      <w:pPr>
        <w:pStyle w:val="Variante"/>
      </w:pPr>
      <w:r>
        <w:t xml:space="preserve">Variante : Durée déterminée</w:t>
      </w:r>
    </w:p>
    <w:p>
      <w:pPr>
        <w:pStyle w:val="Corps"/>
      </w:pPr>
      <w:r>
        <w:t xml:space="preserve">Le contrat est conclu à compter du [Date de début de la gérance] jusqu'au [Date de fin du terme fixe]. Il cesse à cette date sauf renouvellement expressément conclu selon [Conditions de renouvellement] ; la poursuite matérielle de l'exploitation ne dispense pas de formaliser la relation nouvelle. La durée convenue est de [Durée déterminée calculée] mois.</w:t>
      </w:r>
    </w:p>
    <w:p>
      <w:pPr>
        <w:pStyle w:val="Variante"/>
      </w:pPr>
      <w:r>
        <w:t xml:space="preserve">Variante : Durée indéterminée</w:t>
      </w:r>
    </w:p>
    <w:p>
      <w:pPr>
        <w:pStyle w:val="Corps"/>
      </w:pPr>
      <w:r>
        <w:t xml:space="preserve">Le contrat prend effet le [Date de début de la gérance] pour une durée indéterminée. Chaque partie peut y mettre fin moyennant le préavis [Préavis du contrat à durée indéterminée], notifié selon les formes convenues, sans préjudice d'une résiliation pour manquement. Le calendrier et le préavis sont documentés par [Justificatif de durée].</w:t>
      </w:r>
    </w:p>
    <w:p>
      <w:pPr>
        <w:pStyle w:val="Intertitre"/>
      </w:pPr>
      <w:r>
        <w:t xml:space="preserve">Mode de redevance — choisir une seule variante</w:t>
      </w:r>
    </w:p>
    <w:p>
      <w:pPr>
        <w:pStyle w:val="Variante"/>
      </w:pPr>
      <w:r>
        <w:t xml:space="preserve">Variante : Redevance fixe</w:t>
      </w:r>
    </w:p>
    <w:p>
      <w:pPr>
        <w:pStyle w:val="Corps"/>
      </w:pPr>
      <w:r>
        <w:t xml:space="preserve">En contrepartie de la jouissance du fonds, le Locataire-gérant verse une redevance fixe de [Redevance fixe] selon l'échéancier [Échéancier de la redevance]. Son traitement de facturation et de taxe est [Traitement fiscal de la redevance].</w:t>
      </w:r>
    </w:p>
    <w:p>
      <w:pPr>
        <w:pStyle w:val="Variante"/>
      </w:pPr>
      <w:r>
        <w:t xml:space="preserve">Variante : Redevance variable</w:t>
      </w:r>
    </w:p>
    <w:p>
      <w:pPr>
        <w:pStyle w:val="Corps"/>
      </w:pPr>
      <w:r>
        <w:t xml:space="preserve">La redevance est égale à [Taux de la redevance variable] % de l'assiette suivante : [Assiette de la redevance variable]. Elle est liquidée selon [Échéancier de la redevance] et son traitement de facturation et de taxe est [Traitement fiscal de la redevance].</w:t>
      </w:r>
    </w:p>
    <w:p>
      <w:pPr>
        <w:pStyle w:val="Variante"/>
      </w:pPr>
      <w:r>
        <w:t xml:space="preserve">Variante : Redevance mixte</w:t>
      </w:r>
    </w:p>
    <w:p>
      <w:pPr>
        <w:pStyle w:val="Corps"/>
      </w:pPr>
      <w:r>
        <w:t xml:space="preserve">La redevance comprend une part fixe de [Redevance fixe] et une part variable de [Taux de la redevance variable] % appliquée à [Assiette de la redevance variable]. Le paiement suit [Échéancier de la redevance] et le traitement de facturation et de taxe est [Traitement fiscal de la redevance].</w:t>
      </w:r>
    </w:p>
    <w:p>
      <w:pPr>
        <w:pStyle w:val="Intertitre"/>
      </w:pPr>
      <w:r>
        <w:t xml:space="preserve">Clause optionnelle : Révision de la redevance</w:t>
      </w:r>
    </w:p>
    <w:p>
      <w:pPr>
        <w:pStyle w:val="Corps"/>
      </w:pPr>
      <w:r>
        <w:t xml:space="preserve">La redevance est révisée selon l’indice [Indice de révision], dont la valeur de base est [Valeur de base de l'indice], à la périodicité [Périodicité de révision]. L'indice publié sous la référence [Source officielle de l’indice] est retenu pour la révision. Le seuil légal de révision exceptionnelle résolu est de [Seuil officiel de révision] %.</w:t>
      </w:r>
    </w:p>
    <w:p>
      <w:pPr>
        <w:pStyle w:val="Intertitre"/>
      </w:pPr>
      <w:r>
        <w:t xml:space="preserve">Clause optionnelle : Dépôt de garantie</w:t>
      </w:r>
    </w:p>
    <w:p>
      <w:pPr>
        <w:pStyle w:val="Corps"/>
      </w:pPr>
      <w:r>
        <w:t xml:space="preserve">Le Locataire-gérant verse un dépôt de garantie de [Dépôt de garantie]. Il est conservé, reconstitué, imputé et restitué selon [Sort du dépôt de garantie], sans pouvoir être confondu avec le paiement anticipé des dernières redevances.</w:t>
      </w:r>
    </w:p>
    <w:p>
      <w:pPr>
        <w:pStyle w:val="Intertitre"/>
      </w:pPr>
      <w:r>
        <w:t xml:space="preserve">État contradictoire initial</w:t>
      </w:r>
    </w:p>
    <w:p>
      <w:pPr>
        <w:pStyle w:val="Corps"/>
      </w:pPr>
      <w:r>
        <w:t xml:space="preserve">À la prise d'effet, les parties signent l'état contradictoire suivant : [État contradictoire initial]. Il recense les éléments du fonds, le matériel, les stocks, les clés, les accès et les réserves servant de référence à la restitution.</w:t>
      </w:r>
    </w:p>
    <w:p>
      <w:pPr>
        <w:pStyle w:val="Intertitre"/>
      </w:pPr>
      <w:r>
        <w:t xml:space="preserve">Traitement du stock — choisir une seule variante</w:t>
      </w:r>
    </w:p>
    <w:p>
      <w:pPr>
        <w:pStyle w:val="Variante"/>
      </w:pPr>
      <w:r>
        <w:t xml:space="preserve">Variante : Stocks restant la propriété du Loueur</w:t>
      </w:r>
    </w:p>
    <w:p>
      <w:pPr>
        <w:pStyle w:val="Corps"/>
      </w:pPr>
      <w:r>
        <w:t xml:space="preserve">Les stocks suivants demeurent la propriété du Loueur : [Stocks appartenant au Loueur]. Leur consommation, remplacement, valorisation et restitution sont suivis séparément des stocks acquis pour le compte du Locataire-gérant.</w:t>
      </w:r>
    </w:p>
    <w:p>
      <w:pPr>
        <w:pStyle w:val="Variante"/>
      </w:pPr>
      <w:r>
        <w:t xml:space="preserve">Variante : Acquisition du stock initial</w:t>
      </w:r>
    </w:p>
    <w:p>
      <w:pPr>
        <w:pStyle w:val="Corps"/>
      </w:pPr>
      <w:r>
        <w:t xml:space="preserve">Le Locataire-gérant acquiert séparément le stock initial selon les modalités suivantes : [Achat des stocks par le Locataire-gérant]. Cette opération ne transfère aucun autre élément du fonds et fait l'objet d'un inventaire et d'une facturation distincts.</w:t>
      </w:r>
    </w:p>
    <w:p>
      <w:pPr>
        <w:pStyle w:val="Intertitre"/>
      </w:pPr>
      <w:r>
        <w:t xml:space="preserve">Entretien et remplacement</w:t>
      </w:r>
    </w:p>
    <w:p>
      <w:pPr>
        <w:pStyle w:val="Corps"/>
      </w:pPr>
      <w:r>
        <w:t xml:space="preserve">Le Locataire-gérant conserve les biens confiés en bon état d'usage et exécute le programme suivant : [Programme d'entretien]. Toute perte, dégradation ou remplacement est signalé et justifié, sous réserve de l'usure normale dûment constatée.</w:t>
      </w:r>
    </w:p>
    <w:p>
      <w:pPr>
        <w:pStyle w:val="Intertitre"/>
      </w:pPr>
      <w:r>
        <w:t xml:space="preserve">Travaux et améliorations</w:t>
      </w:r>
    </w:p>
    <w:p>
      <w:pPr>
        <w:pStyle w:val="Corps"/>
      </w:pPr>
      <w:r>
        <w:t xml:space="preserve">Les travaux, agencements et améliorations sont autorisés, financés, assurés et traités à la fin du contrat selon [Travaux et améliorations]. Aucune intervention affectant la structure, la destination ou un droit de tiers n'est engagée sans les accords requis.</w:t>
      </w:r>
    </w:p>
    <w:p>
      <w:pPr>
        <w:pStyle w:val="Intertitre"/>
      </w:pPr>
      <w:r>
        <w:t xml:space="preserve">Salariés — choisir une seule variante</w:t>
      </w:r>
    </w:p>
    <w:p>
      <w:pPr>
        <w:pStyle w:val="Variante"/>
      </w:pPr>
      <w:r>
        <w:t xml:space="preserve">Variante : Contrats de travail attachés à l'activité</w:t>
      </w:r>
    </w:p>
    <w:p>
      <w:pPr>
        <w:pStyle w:val="Corps"/>
      </w:pPr>
      <w:r>
        <w:t xml:space="preserve">Les contrats de travail concernés sont : [Salariés attachés au fonds]. Sous réserve que les conditions légales du transfert soient réunies, ils se poursuivent avec le Locataire-gérant ; les éléments sociaux arrêtés entre les parties sont décrits dans [État des obligations sociales] sans réduire les droits des salariés.</w:t>
      </w:r>
    </w:p>
    <w:p>
      <w:pPr>
        <w:pStyle w:val="Variante"/>
      </w:pPr>
      <w:r>
        <w:t xml:space="preserve">Variante : Absence de salarié attaché au fonds</w:t>
      </w:r>
    </w:p>
    <w:p>
      <w:pPr>
        <w:pStyle w:val="Corps"/>
      </w:pPr>
      <w:r>
        <w:t xml:space="preserve">Le Loueur déclare qu'aucun contrat de travail n'est attaché à l'entité économique confiée à la date de prise d'effet. Cette déclaration doit être rapprochée du registre du personnel et des situations de mise à disposition ou de prestation.</w:t>
      </w:r>
    </w:p>
    <w:p>
      <w:pPr>
        <w:pStyle w:val="Intertitre"/>
      </w:pPr>
      <w:r>
        <w:t xml:space="preserve">Assurances</w:t>
      </w:r>
    </w:p>
    <w:p>
      <w:pPr>
        <w:pStyle w:val="Corps"/>
      </w:pPr>
      <w:r>
        <w:t xml:space="preserve">Avant toute exploitation, le Locataire-gérant souscrit et maintient les garanties suivantes : [Assurances d'exploitation]. Il remet les attestations au Loueur, règle les primes et notifie sans délai tout sinistre ou suspension de garantie.</w:t>
      </w:r>
    </w:p>
    <w:p>
      <w:pPr>
        <w:pStyle w:val="Intertitre"/>
      </w:pPr>
      <w:r>
        <w:t xml:space="preserve">Responsabilité d'exploitation</w:t>
      </w:r>
    </w:p>
    <w:p>
      <w:pPr>
        <w:pStyle w:val="Corps"/>
      </w:pPr>
      <w:r>
        <w:t xml:space="preserve">Le Locataire-gérant répond des actes, contrats, dommages, infractions et dettes nés de son exploitation, sous réserve des responsabilités que la loi impose au Loueur ou aux tiers. Il garantit le Loueur contre les conséquences de ses propres manquements.</w:t>
      </w:r>
    </w:p>
    <w:p>
      <w:pPr>
        <w:pStyle w:val="Intertitre"/>
      </w:pPr>
      <w:r>
        <w:t xml:space="preserve">Comptabilité et information du Loueur</w:t>
      </w:r>
    </w:p>
    <w:p>
      <w:pPr>
        <w:pStyle w:val="Corps"/>
      </w:pPr>
      <w:r>
        <w:t xml:space="preserve">Le Locataire-gérant tient une comptabilité autonome et remet au Loueur, à la fréquence [Périodicité du reporting], les informations suivantes : [Informations comptables à remettre]. Le contrôle du Loueur ne doit pas se transformer en direction quotidienne de l'exploitation.</w:t>
      </w:r>
    </w:p>
    <w:p>
      <w:pPr>
        <w:pStyle w:val="Intertitre"/>
      </w:pPr>
      <w:r>
        <w:t xml:space="preserve">Contrôle limité du fonds</w:t>
      </w:r>
    </w:p>
    <w:p>
      <w:pPr>
        <w:pStyle w:val="Corps"/>
      </w:pPr>
      <w:r>
        <w:t xml:space="preserve">Le Loueur peut, sur préavis raisonnable et sans perturber l'activité, vérifier la conservation des éléments du fonds, l'assurance et les données servant au calcul de la redevance. Il respecte la confidentialité des informations commerciales consultées.</w:t>
      </w:r>
    </w:p>
    <w:p>
      <w:pPr>
        <w:pStyle w:val="Intertitre"/>
      </w:pPr>
      <w:r>
        <w:t xml:space="preserve">Impôts, taxes et cotisations</w:t>
      </w:r>
    </w:p>
    <w:p>
      <w:pPr>
        <w:pStyle w:val="Corps"/>
      </w:pPr>
      <w:r>
        <w:t xml:space="preserve">Le Locataire-gérant acquitte les impôts, taxes, cotisations sociales et charges nés de sa propre exploitation. La répartition interne ne fait pas obstacle aux règles légales de responsabilité, notamment pendant la période précédant la publicité du contrat.</w:t>
      </w:r>
    </w:p>
    <w:p>
      <w:pPr>
        <w:pStyle w:val="Intertitre"/>
      </w:pPr>
      <w:r>
        <w:t xml:space="preserve">Contrats d'exploitation</w:t>
      </w:r>
    </w:p>
    <w:p>
      <w:pPr>
        <w:pStyle w:val="Corps"/>
      </w:pPr>
      <w:r>
        <w:t xml:space="preserve">Le Locataire-gérant conclut en son nom les contrats nécessaires à son activité et en supporte le coût. Les contrats antérieurs du Loueur ne sont repris ou utilisés que s'ils sont expressément désignés et si les accords requis ont été obtenus.</w:t>
      </w:r>
    </w:p>
    <w:p>
      <w:pPr>
        <w:pStyle w:val="Intertitre"/>
      </w:pPr>
      <w:r>
        <w:t xml:space="preserve">Clause optionnelle : Données personnelles liées à la clientèle</w:t>
      </w:r>
    </w:p>
    <w:p>
      <w:pPr>
        <w:pStyle w:val="Corps"/>
      </w:pPr>
      <w:r>
        <w:t xml:space="preserve">Lorsque l'exploitation donne accès à des données personnelles, les parties appliquent les règles suivantes : [Traitement des données personnelles]. Les accès sont limités aux besoins licites du fonds et les données et supports sont restitués, transférés ou supprimés selon les rôles effectivement exercés.</w:t>
      </w:r>
    </w:p>
    <w:p>
      <w:pPr>
        <w:pStyle w:val="Intertitre"/>
      </w:pPr>
      <w:r>
        <w:t xml:space="preserve">Publication du contrat</w:t>
      </w:r>
    </w:p>
    <w:p>
      <w:pPr>
        <w:pStyle w:val="Corps"/>
      </w:pPr>
      <w:r>
        <w:t xml:space="preserve">Le contrat est publié dans le délai officiel de [Délai officiel de publication] jours suivant sa date, dans le support habilité [Support d'annonces légales], au plus tard le [Date limite de publication]. Le délai calculé est de [Délai de publication calculé] jours et la preuve est [Justificatif de publicité].</w:t>
      </w:r>
    </w:p>
    <w:p>
      <w:pPr>
        <w:pStyle w:val="Intertitre"/>
      </w:pPr>
      <w:r>
        <w:t xml:space="preserve">Responsabilité du Loueur avant publication</w:t>
      </w:r>
    </w:p>
    <w:p>
      <w:pPr>
        <w:pStyle w:val="Corps"/>
      </w:pPr>
      <w:r>
        <w:t xml:space="preserve">Jusqu'à la publication du contrat, le Loueur est solidairement responsable avec le Locataire-gérant des dettes contractées par celui-ci à l'occasion de l'exploitation du fonds. Les parties accomplissent donc la publicité sans retard.</w:t>
      </w:r>
    </w:p>
    <w:p>
      <w:pPr>
        <w:pStyle w:val="Intertitre"/>
      </w:pPr>
      <w:r>
        <w:t xml:space="preserve">Créanciers du Loueur</w:t>
      </w:r>
    </w:p>
    <w:p>
      <w:pPr>
        <w:pStyle w:val="Corps"/>
      </w:pPr>
      <w:r>
        <w:t xml:space="preserve">Les dettes du Loueur afférentes à l’exploitation peuvent être déclarées immédiatement exigibles si la location-gérance met leur recouvrement en péril, à condition d’agir dans le délai officiel de [Délai d’action des créanciers] mois à compter de la publication.</w:t>
      </w:r>
    </w:p>
    <w:p>
      <w:pPr>
        <w:pStyle w:val="Intertitre"/>
      </w:pPr>
      <w:r>
        <w:t xml:space="preserve">Immatriculation et déclarations</w:t>
      </w:r>
    </w:p>
    <w:p>
      <w:pPr>
        <w:pStyle w:val="Corps"/>
      </w:pPr>
      <w:r>
        <w:t xml:space="preserve">Le Locataire-gérant accomplit les formalités suivantes : [Formalités d'immatriculation]. Il justifie de sa qualité de commerçant ou, pour un établissement artisanal, des inscriptions correspondant à son activité avant ou dans les délais applicables.</w:t>
      </w:r>
    </w:p>
    <w:p>
      <w:pPr>
        <w:pStyle w:val="Intertitre"/>
      </w:pPr>
      <w:r>
        <w:t xml:space="preserve">Clause optionnelle : Justificatif de publication</w:t>
      </w:r>
    </w:p>
    <w:p>
      <w:pPr>
        <w:pStyle w:val="Corps"/>
      </w:pPr>
      <w:r>
        <w:t xml:space="preserve">Après accomplissement de la formalité, l'avis porte la référence [Référence de publication]. Cette référence n'est renseignée qu'à partir de l'attestation de parution et est communiquée aux parties pour leur dossier de suivi.</w:t>
      </w:r>
    </w:p>
    <w:p>
      <w:pPr>
        <w:pStyle w:val="Intertitre"/>
      </w:pPr>
      <w:r>
        <w:t xml:space="preserve">Résiliation pour manquement</w:t>
      </w:r>
    </w:p>
    <w:p>
      <w:pPr>
        <w:pStyle w:val="Corps"/>
      </w:pPr>
      <w:r>
        <w:t xml:space="preserve">En cas de manquement, la partie lésée applique la procédure [Procédure de résiliation]. Les manquements graves identifiés sont : [Manquements graves]. La résiliation intervient sans préjudice des mesures conservatoires, restitutions et réparations légalement ouvertes.</w:t>
      </w:r>
    </w:p>
    <w:p>
      <w:pPr>
        <w:pStyle w:val="Intertitre"/>
      </w:pPr>
      <w:r>
        <w:t xml:space="preserve">Restitution du fonds</w:t>
      </w:r>
    </w:p>
    <w:p>
      <w:pPr>
        <w:pStyle w:val="Corps"/>
      </w:pPr>
      <w:r>
        <w:t xml:space="preserve">À la fin du contrat, le Locataire-gérant cesse d'utiliser les éléments du Loueur, remet les clés, accès, documents et matériels et signe l'état contradictoire suivant : [État contradictoire de restitution]. Les écarts avec l'état initial sont motivés et chiffrés.</w:t>
      </w:r>
    </w:p>
    <w:p>
      <w:pPr>
        <w:pStyle w:val="Intertitre"/>
      </w:pPr>
      <w:r>
        <w:t xml:space="preserve">Comptes de fin de gérance</w:t>
      </w:r>
    </w:p>
    <w:p>
      <w:pPr>
        <w:pStyle w:val="Corps"/>
      </w:pPr>
      <w:r>
        <w:t xml:space="preserve">Les redevances, charges, stocks, réparations et autres sommes sont arrêtés selon [Comptes de fin de gérance]. Les comptes distinguent les dettes de l'exploitation, qui deviennent immédiatement exigibles à la fin de la location-gérance.</w:t>
      </w:r>
    </w:p>
    <w:p>
      <w:pPr>
        <w:pStyle w:val="Intertitre"/>
      </w:pPr>
      <w:r>
        <w:t xml:space="preserve">Publicité de la fin de gérance</w:t>
      </w:r>
    </w:p>
    <w:p>
      <w:pPr>
        <w:pStyle w:val="Corps"/>
      </w:pPr>
      <w:r>
        <w:t xml:space="preserve">La fin de la location-gérance fait l’objet, dans le délai officiel de [Délai officiel de publication] jours, de la même publicité que sa conclusion. Le délai calculé est de [Délai de publicité de fin calculé] jours et la preuve est [Justificatif de publicité de fin].</w:t>
      </w:r>
    </w:p>
    <w:p>
      <w:pPr>
        <w:pStyle w:val="Intertitre"/>
      </w:pPr>
      <w:r>
        <w:t xml:space="preserve">Clause optionnelle : Non-concurrence après restitution</w:t>
      </w:r>
    </w:p>
    <w:p>
      <w:pPr>
        <w:pStyle w:val="Corps"/>
      </w:pPr>
      <w:r>
        <w:t xml:space="preserve">Après la fin du contrat, le Locataire-gérant s'abstient d'exercer [Activité interdite après le contrat] dans [Périmètre de non-concurrence] pendant [Durée de non-concurrence], uniquement dans la mesure nécessaire et proportionnée à la protection de la clientèle restituée.</w:t>
      </w:r>
    </w:p>
    <w:p>
      <w:pPr>
        <w:pStyle w:val="Intertitre"/>
      </w:pPr>
      <w:r>
        <w:t xml:space="preserve">Clause optionnelle : Option distincte d'acquisition du fonds</w:t>
      </w:r>
    </w:p>
    <w:p>
      <w:pPr>
        <w:pStyle w:val="Corps"/>
      </w:pPr>
      <w:r>
        <w:t xml:space="preserve">Le Loueur consent une option d'achat distincte, exerçable jusqu'au [Date limite de l'option d'achat], dont le prix sera déterminé selon [Méthode de prix de l'option d'achat]. Son exercice requiert un acte de cession autonome, ses contrôles et ses formalités propres. La revue séparée est [Justificatif de l’option d’achat].</w:t>
      </w:r>
    </w:p>
    <w:p>
      <w:pPr>
        <w:pStyle w:val="Intertitre"/>
      </w:pPr>
      <w:r>
        <w:t xml:space="preserve">Notifications</w:t>
      </w:r>
    </w:p>
    <w:p>
      <w:pPr>
        <w:pStyle w:val="Corps"/>
      </w:pPr>
      <w:r>
        <w:t xml:space="preserve">Les notifications sont adressées selon les formes convenues aux coordonnées suivantes : [Adresses de notification]. Tout changement de coordonnées n'est opposable qu'après notification permettant d'en établir la date et le contenu.</w:t>
      </w:r>
    </w:p>
    <w:p>
      <w:pPr>
        <w:pStyle w:val="Intertitre"/>
      </w:pPr>
      <w:r>
        <w:t xml:space="preserve">Droit applicable et différends</w:t>
      </w:r>
    </w:p>
    <w:p>
      <w:pPr>
        <w:pStyle w:val="Corps"/>
      </w:pPr>
      <w:r>
        <w:t xml:space="preserve">Le contrat est régi par [Droit applicable]. Les différends relatifs à sa formation, son exécution ou sa fin sont traités selon [Règlement des différends], sous réserve des compétences et procédures impératives.</w:t>
      </w:r>
    </w:p>
    <w:p>
      <w:pPr>
        <w:pStyle w:val="Intertitre"/>
      </w:pPr>
      <w:r>
        <w:t xml:space="preserve">Force majeure</w:t>
      </w:r>
    </w:p>
    <w:p>
      <w:pPr>
        <w:pStyle w:val="Corps"/>
      </w:pPr>
      <w:r>
        <w:t xml:space="preserve">La partie empêchée par un événement répondant aux conditions légales de la force majeure en informe l'autre sans délai, en justifie les effets et prend les mesures raisonnables pour en limiter la durée. Les conséquences sur l'exécution sont appréciées selon la nature temporaire ou définitive de l'empêchement.</w:t>
      </w:r>
    </w:p>
    <w:p>
      <w:pPr>
        <w:pStyle w:val="Intertitre"/>
      </w:pPr>
      <w:r>
        <w:t xml:space="preserve">Annexes</w:t>
      </w:r>
    </w:p>
    <w:p>
      <w:pPr>
        <w:pStyle w:val="Corps"/>
      </w:pPr>
      <w:r>
        <w:t xml:space="preserve">Font partie du contrat les annexes suivantes : [Annexes]. Chaque exemplaire signé comporte les mêmes annexes, identifiées et paraphées ou liées au procédé de signature électronique.</w:t>
      </w:r>
    </w:p>
    <w:p>
      <w:pPr>
        <w:pStyle w:val="Intertitre"/>
      </w:pPr>
      <w:r>
        <w:t xml:space="preserve">État du document — choisir une seule variante</w:t>
      </w:r>
    </w:p>
    <w:p>
      <w:pPr>
        <w:pStyle w:val="Variante"/>
      </w:pPr>
      <w:r>
        <w:t xml:space="preserve">Variante : Projet à signer</w:t>
      </w:r>
    </w:p>
    <w:p>
      <w:pPr>
        <w:pStyle w:val="Corps"/>
      </w:pPr>
      <w:r>
        <w:t xml:space="preserve">Le présent texte constitue le projet contractuel soumis aux parties. La location-gérance ne prend effet qu'après signature, accomplissement des conditions préalables et remise contradictoire du fonds.</w:t>
      </w:r>
    </w:p>
    <w:p>
      <w:pPr>
        <w:pStyle w:val="Variante"/>
      </w:pPr>
      <w:r>
        <w:t xml:space="preserve">Variante : Exemplaires signés</w:t>
      </w:r>
    </w:p>
    <w:p>
      <w:pPr>
        <w:pStyle w:val="Corps"/>
      </w:pPr>
      <w:r>
        <w:t xml:space="preserve">Le contrat est établi en autant d'originaux ou d'exemplaires électroniques que nécessaire. Chaque partie reconnaît disposer du texte complet et des annexes correspondant à la version signée.</w:t>
      </w:r>
    </w:p>
    <w:p>
      <w:pPr>
        <w:pStyle w:val="Variante"/>
      </w:pPr>
      <w:r>
        <w:t xml:space="preserve">Variante : Copie de suivi après formalités</w:t>
      </w:r>
    </w:p>
    <w:p>
      <w:pPr>
        <w:pStyle w:val="Corps"/>
      </w:pPr>
      <w:r>
        <w:t xml:space="preserve">La copie de suivi réunit le contrat signé, l'état de remise et les justificatifs d'immatriculation et de publicité. Elle ne modifie ni la date ni le contenu de l'accord initial.</w:t>
      </w:r>
    </w:p>
    <w:p>
      <w:pPr>
        <w:pStyle w:val="Intertitre"/>
      </w:pPr>
      <w:r>
        <w:t xml:space="preserve">Signatures</w:t>
      </w:r>
    </w:p>
    <w:p>
      <w:pPr>
        <w:pStyle w:val="Corps"/>
      </w:pPr>
      <w:r>
        <w:t xml:space="preserve">Le Loueur signe sous le nom [Signature du Loueur] et le Locataire-gérant sous le nom [Signature du Locataire-gérant], après lecture du contrat et de ses annexes et après vérification de leurs pouvoirs respectifs.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