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ntion"/>
      </w:pPr>
      <w:r>
        <w:t xml:space="preserve">Trame de travail — à relire et à adapter à l'espèce avant tout usage. Ce document n'est ni un conseil juridique ni une trame validée pour un dossier particulier. Les mentions entre crochets sont à compléter ; dans LegalProd, elles se remplissent depuis la fiche du dossier client.</w:t>
      </w:r>
    </w:p>
    <w:p>
      <w:pPr>
        <w:pStyle w:val="Titre"/>
      </w:pPr>
      <w:r>
        <w:t xml:space="preserve">CONTRAT DE PRESTATION DE SERVICES</w:t>
      </w:r>
    </w:p>
    <w:p>
      <w:pPr>
        <w:pStyle w:val="Intertitre"/>
      </w:pPr>
      <w:r>
        <w:t xml:space="preserve">Clause optionnelle : Parties et pouvoirs</w:t>
      </w:r>
    </w:p>
    <w:p>
      <w:pPr>
        <w:pStyle w:val="Corps"/>
      </w:pPr>
      <w:r>
        <w:t xml:space="preserve">[Identité juridique du Prestataire], représenté par une personne dont le pouvoir résulte de [Pouvoir du signataire du Prestataire], ci-après le « Prestataire », et [Identité juridique du Client], représenté par une personne dont le pouvoir résulte de [Pouvoir du signataire du Client], ci-après le « Client », concluent le présent contrat. Chaque partie déclare que son signataire est habilité à l'engager et s'oblige à signaler sans délai toute modification de son identité, de sa représentation ou de ses coordonnées susceptible d'affecter l'exécution du contrat.</w:t>
      </w:r>
    </w:p>
    <w:p>
      <w:pPr>
        <w:pStyle w:val="Intertitre"/>
      </w:pPr>
      <w:r>
        <w:t xml:space="preserve">Préambule</w:t>
      </w:r>
    </w:p>
    <w:p>
      <w:pPr>
        <w:pStyle w:val="Corps"/>
      </w:pPr>
      <w:r>
        <w:t xml:space="preserve">Les parties exposent le contexte, leurs objectifs et les contraintes de la relation dans les termes suivants : [Contexte et objectifs]. Elles reconnaissent avoir échangé les informations nécessaires à la définition de leurs besoins et à l'appréciation de leurs engagements respectifs. Ce préambule éclaire leur commune intention et l'interprétation du contrat ; il ne crée toutefois aucun livrable, délai ou engagement financier qui ne serait pas expressément repris dans les stipulations ou annexes applicables.</w:t>
      </w:r>
    </w:p>
    <w:p>
      <w:pPr>
        <w:pStyle w:val="Intertitre"/>
      </w:pPr>
      <w:r>
        <w:t xml:space="preserve">Définitions</w:t>
      </w:r>
    </w:p>
    <w:p>
      <w:pPr>
        <w:pStyle w:val="Corps"/>
      </w:pPr>
      <w:r>
        <w:t xml:space="preserve">Pour l'application du contrat, les termes propres à la mission reçoivent les définitions suivantes : [Définitions contractuelles]. Chaque terme défini conserve le même sens dans le corps du contrat et ses annexes, au singulier comme au pluriel. Une définition spéciale prévaut pour son seul objet. Elle ne peut ni étendre implicitement le périmètre des prestations, ni créer un droit sur un livrable, ni modifier la répartition des responsabilités arrêtée par les parties.</w:t>
      </w:r>
    </w:p>
    <w:p>
      <w:pPr>
        <w:pStyle w:val="Intertitre"/>
      </w:pPr>
      <w:r>
        <w:t xml:space="preserve">Clause optionnelle : Objet, périmètre et hiérarchie</w:t>
      </w:r>
    </w:p>
    <w:p>
      <w:pPr>
        <w:pStyle w:val="Corps"/>
      </w:pPr>
      <w:r>
        <w:t xml:space="preserve">Le Prestataire réalise les prestations suivantes : [Prestations incluses]. Les prestations expressément exclues sont : [Prestations exclues]. Toute tâche non décrite, même utile au projet, demeure hors périmètre jusqu'à son acceptation selon la procédure de changement. Les documents contractuels s'appliquent selon l'ordre de priorité suivant : [Hiérarchie contractuelle]. En cas de contradiction, le document de rang supérieur prévaut pour la seule stipulation incompatible ; les autres dispositions demeurent applicables.</w:t>
      </w:r>
    </w:p>
    <w:p>
      <w:pPr>
        <w:pStyle w:val="Intertitre"/>
      </w:pPr>
      <w:r>
        <w:t xml:space="preserve">Livrables</w:t>
      </w:r>
    </w:p>
    <w:p>
      <w:pPr>
        <w:pStyle w:val="Corps"/>
      </w:pPr>
      <w:r>
        <w:t xml:space="preserve">Les livrables dus, leur format, leur contenu et leur destination sont décrits comme suit : [Description des livrables]. Leur conformité est appréciée exclusivement au regard des critères vérifiés suivants : [Critères d'acceptation]. La remise d'un livrable est accompagnée des éléments nécessaires à son contrôle et permet d'en identifier la version. Aucun livrable, niveau de service ou fonctionnalité supplémentaire ne peut être déduit d'une discussion, d'une démonstration ou d'un échange qui n'a pas été accepté conformément au contrat.</w:t>
      </w:r>
    </w:p>
    <w:p>
      <w:pPr>
        <w:pStyle w:val="Intertitre"/>
      </w:pPr>
      <w:r>
        <w:t xml:space="preserve">Niveau d'obligation — choisir une seule variante</w:t>
      </w:r>
    </w:p>
    <w:p>
      <w:pPr>
        <w:pStyle w:val="Variante"/>
      </w:pPr>
      <w:r>
        <w:t xml:space="preserve">Variante : Obligation de moyens</w:t>
      </w:r>
    </w:p>
    <w:p>
      <w:pPr>
        <w:pStyle w:val="Corps"/>
      </w:pPr>
      <w:r>
        <w:t xml:space="preserve">Le Prestataire mobilise les moyens humains, techniques et organisationnels suivants : [Moyens convenus]. Il exécute la mission avec les compétences, la prudence et les diligences raisonnablement attendues d'un professionnel de son domaine. Il informe le Client des difficultés identifiées, propose les mesures correctrices utiles et rend compte des travaux accomplis. Il ne garantit pas un résultat dépendant d'informations, de décisions, d'accès ou de facteurs extérieurs qu'il ne maîtrise pas, sous réserve de ses engagements exprès.</w:t>
      </w:r>
    </w:p>
    <w:p>
      <w:pPr>
        <w:pStyle w:val="Variante"/>
      </w:pPr>
      <w:r>
        <w:t xml:space="preserve">Variante : Obligation de résultat</w:t>
      </w:r>
    </w:p>
    <w:p>
      <w:pPr>
        <w:pStyle w:val="Corps"/>
      </w:pPr>
      <w:r>
        <w:t xml:space="preserve">Le Prestataire s'engage à atteindre le résultat précis suivant : [Résultat contractuel garanti]. L'atteinte de ce résultat est appréciée objectivement au regard de [Critères d'acceptation] et des conditions de contrôle convenues. Le Prestataire demeure tenu de corriger toute non-conformité qui lui est imputable dans les conditions prévues au contrat. Cet engagement suppose toutefois l'exécution ponctuelle des dépendances expressément mises à la charge du Client et ne couvre pas les effets d'une modification non approuvée ou d'un événement de force majeure.</w:t>
      </w:r>
    </w:p>
    <w:p>
      <w:pPr>
        <w:pStyle w:val="Intertitre"/>
      </w:pPr>
      <w:r>
        <w:t xml:space="preserve">Calendrier et jalons</w:t>
      </w:r>
    </w:p>
    <w:p>
      <w:pPr>
        <w:pStyle w:val="Corps"/>
      </w:pPr>
      <w:r>
        <w:t xml:space="preserve">Le calendrier, les jalons, les dépendances et leur séquencement sont les suivants : [Calendrier et jalons]. Chaque partie désigne les actions qui lui incombent et alerte l'autre dès qu'un risque de retard est identifié. Tout décalage est documenté avec sa cause, son incidence sur les livrables, les coûts et les autres jalons, ainsi que les mesures de limitation envisagées. Le calendrier contractuel n'est modifié qu'après application de la procédure de changement, sauf mesure conservatoire sans incidence sur les engagements convenus.</w:t>
      </w:r>
    </w:p>
    <w:p>
      <w:pPr>
        <w:pStyle w:val="Intertitre"/>
      </w:pPr>
      <w:r>
        <w:t xml:space="preserve">Coopération du Client</w:t>
      </w:r>
    </w:p>
    <w:p>
      <w:pPr>
        <w:pStyle w:val="Corps"/>
      </w:pPr>
      <w:r>
        <w:t xml:space="preserve">Le Client fournit en temps utile les informations, accès, données, validations, décisions et moyens suivants : [Dépendances à la charge du Client]. Il veille à leur exactitude, à leur licéité et à la disponibilité de ses interlocuteurs. Le Prestataire l'alerte sans retard lorsqu'une carence ou une ambiguïté est susceptible d'affecter le périmètre, la qualité, la sécurité ou le calendrier. Les parties examinent alors de bonne foi les mesures de contournement et, si l'incidence est substantielle, appliquent la procédure de changement avant de modifier le prix ou les délais.</w:t>
      </w:r>
    </w:p>
    <w:p>
      <w:pPr>
        <w:pStyle w:val="Intertitre"/>
      </w:pPr>
      <w:r>
        <w:t xml:space="preserve">Gestion des changements</w:t>
      </w:r>
    </w:p>
    <w:p>
      <w:pPr>
        <w:pStyle w:val="Corps"/>
      </w:pPr>
      <w:r>
        <w:t xml:space="preserve">Toute évolution du périmètre, des livrables, des critères d'acceptation, du calendrier, du prix ou de l'allocation des risques suit la procédure suivante : [Procédure de changement]. La demande décrit son motif, les travaux concernés et ses incidences prévisibles. Le Prestataire n'est tenu d'exécuter la modification qu'après accord exprès des personnes habilitées sur son contenu, son coût et son calendrier. Tant que cet accord n'est pas intervenu, les parties poursuivent l'exécution du périmètre antérieurement convenu dans la mesure raisonnablement possible.</w:t>
      </w:r>
    </w:p>
    <w:p>
      <w:pPr>
        <w:pStyle w:val="Intertitre"/>
      </w:pPr>
      <w:r>
        <w:t xml:space="preserve">Clause optionnelle : Personnel et indépendance</w:t>
      </w:r>
    </w:p>
    <w:p>
      <w:pPr>
        <w:pStyle w:val="Corps"/>
      </w:pPr>
      <w:r>
        <w:t xml:space="preserve">Le Prestataire organise librement ses moyens humains et techniques, choisit les méthodes d'exécution et assure seul l'encadrement de son personnel, sous réserve des exigences relatives au personnel clé suivantes : [Exigences relatives au personnel clé]. Les instructions du Client portent exclusivement sur le résultat attendu, les contraintes de sécurité et la coordination de la mission. Aucun lien de subordination n'est créé entre le Client et le personnel affecté aux prestations ; le Prestataire demeure seul responsable de ses obligations d'employeur et de l'organisation du travail.</w:t>
      </w:r>
    </w:p>
    <w:p>
      <w:pPr>
        <w:pStyle w:val="Intertitre"/>
      </w:pPr>
      <w:r>
        <w:t xml:space="preserve">Clause optionnelle : Sous-traitance</w:t>
      </w:r>
    </w:p>
    <w:p>
      <w:pPr>
        <w:pStyle w:val="Corps"/>
      </w:pPr>
      <w:r>
        <w:t xml:space="preserve">Le recours à un sous-traitant est soumis aux conditions d'information, d'autorisation et de contrôle suivantes : [Conditions de sous-traitance]. Le Prestataire vérifie son aptitude, lui transmet uniquement les informations nécessaires et lui impose des engagements de confidentialité, de sécurité et de propriété intellectuelle adaptés à la mission. Il demeure responsable envers le Client de l'exécution des prestations sous-traitées. Lorsque des données personnelles sont concernées, cette clause ne remplace pas les autorisations et garanties exigées par l'accord de traitement applicable.</w:t>
      </w:r>
    </w:p>
    <w:p>
      <w:pPr>
        <w:pStyle w:val="Intertitre"/>
      </w:pPr>
      <w:r>
        <w:t xml:space="preserve">Modèle de prix — choisir une seule variante</w:t>
      </w:r>
    </w:p>
    <w:p>
      <w:pPr>
        <w:pStyle w:val="Variante"/>
      </w:pPr>
      <w:r>
        <w:t xml:space="preserve">Variante : Prix forfaitaire</w:t>
      </w:r>
    </w:p>
    <w:p>
      <w:pPr>
        <w:pStyle w:val="Corps"/>
      </w:pPr>
      <w:r>
        <w:t xml:space="preserve">Le prix forfaitaire est fixé à [Prix forfaitaire] pour le seul périmètre décrit par [Prestations incluses] et selon l'échéancier [Échéancier de facturation]. Ce prix couvre les moyens normalement nécessaires à l'exécution des prestations incluses, à l'exclusion des frais remboursables expressément acceptés. Toute prestation hors périmètre, reprise imputable à une information erronée du Client ou modification demandée après validation nécessite une demande de changement acceptée avant son exécution. Le Prestataire en expose alors l'incidence sur le prix et les délais.</w:t>
      </w:r>
    </w:p>
    <w:p>
      <w:pPr>
        <w:pStyle w:val="Variante"/>
      </w:pPr>
      <w:r>
        <w:t xml:space="preserve">Variante : Régie</w:t>
      </w:r>
    </w:p>
    <w:p>
      <w:pPr>
        <w:pStyle w:val="Corps"/>
      </w:pPr>
      <w:r>
        <w:t xml:space="preserve">La rémunération en régie est calculée selon le barème [Barème de régie] et l'échéancier [Échéancier de facturation]. Les relevés d'activité distinguent les intervenants ou profils, les unités consommées, les dates et les travaux réalisés. Le Client peut formuler une contestation motivée selon la procédure convenue, sans retenir les montants non contestés. Tout dépassement d'une estimation, d'un plafond ou d'une enveloppe identifiée doit être signalé avant engagement ; il ne vaut pas autorisation d'augmenter un plafond contractuel.</w:t>
      </w:r>
    </w:p>
    <w:p>
      <w:pPr>
        <w:pStyle w:val="Variante"/>
      </w:pPr>
      <w:r>
        <w:t xml:space="preserve">Variante : Abonnement</w:t>
      </w:r>
    </w:p>
    <w:p>
      <w:pPr>
        <w:pStyle w:val="Corps"/>
      </w:pPr>
      <w:r>
        <w:t xml:space="preserve">Le prix de l'abonnement est fixé à [Prix de l'abonnement] pour les services récurrents définis dans [Prestations incluses], selon l'échéancier [Échéancier de facturation]. Il couvre exclusivement la période, les volumes, les utilisateurs et les niveaux de service prévus. Les dépassements, prestations ponctuelles et changements de niveau suivent la procédure de changement. Une suspension, une résiliation ou une évolution tarifaire produit les seuls effets financiers expressément convenus, sans facturation rétroactive d'un service non commandé.</w:t>
      </w:r>
    </w:p>
    <w:p>
      <w:pPr>
        <w:pStyle w:val="Intertitre"/>
      </w:pPr>
      <w:r>
        <w:t xml:space="preserve">Clause optionnelle : Frais</w:t>
      </w:r>
    </w:p>
    <w:p>
      <w:pPr>
        <w:pStyle w:val="Corps"/>
      </w:pPr>
      <w:r>
        <w:t xml:space="preserve">Seules les catégories de frais suivantes peuvent être remboursées : [Catégories de frais remboursables]. Leur engagement et leur remboursement sont soumis à la procédure d'approbation préalable et de justification suivante : [Procédure d'approbation des frais]. Chaque demande identifie la mission concernée, la date, la nature du frais et son justificatif. Un frais non autorisé, insuffisamment documenté ou déjà compris dans le prix demeure à la charge du Prestataire. Les parties appliquent séparément le traitement fiscal correspondant à la dépense concernée.</w:t>
      </w:r>
    </w:p>
    <w:p>
      <w:pPr>
        <w:pStyle w:val="Intertitre"/>
      </w:pPr>
      <w:r>
        <w:t xml:space="preserve">Clause optionnelle : Facturation, fiscalité et retard de paiement</w:t>
      </w:r>
    </w:p>
    <w:p>
      <w:pPr>
        <w:pStyle w:val="Corps"/>
      </w:pPr>
      <w:r>
        <w:t xml:space="preserve">Les factures sont émises selon l'échéancier [Échéancier de facturation], décrivent les prestations facturées et appliquent le traitement fiscal [Traitement fiscal et TVA]. Toute contestation est motivée et notifiée sans retarder le paiement de la partie non contestée. Tout retard produit de plein droit des pénalités au taux contractuel de [Multiplicateur contractuel des pénalités] fois le taux d'intérêt légal, sans pouvoir être inférieur au minimum officiel de [Multiplicateur minimal du taux des pénalités] fois ce taux, ainsi qu'une indemnité forfaitaire de [Indemnité forfaitaire de recouvrement] euros. Les frais de recouvrement supplémentaires ne sont réclamés que s'ils sont justifiés et légalement admissibles.</w:t>
      </w:r>
    </w:p>
    <w:p>
      <w:pPr>
        <w:pStyle w:val="Intertitre"/>
      </w:pPr>
      <w:r>
        <w:t xml:space="preserve">Échéance de paiement — choisir une seule variante</w:t>
      </w:r>
    </w:p>
    <w:p>
      <w:pPr>
        <w:pStyle w:val="Variante"/>
      </w:pPr>
      <w:r>
        <w:t xml:space="preserve">Variante : Paiement comptant</w:t>
      </w:r>
    </w:p>
    <w:p>
      <w:pPr>
        <w:pStyle w:val="Corps"/>
      </w:pPr>
      <w:r>
        <w:t xml:space="preserve">Les factures sont exigibles comptant à leur date d'émission. Le paiement est réputé réalisé à la date de mise à disposition effective des fonds au profit du créancier. Cette modalité demeure soumise aux mentions légales de facturation, aux règles relatives aux pénalités de retard et au traitement des contestations prévu par le contrat ; elle ne permet pas de différer unilatéralement l'exigibilité d'une somme non contestée.</w:t>
      </w:r>
    </w:p>
    <w:p>
      <w:pPr>
        <w:pStyle w:val="Variante"/>
      </w:pPr>
      <w:r>
        <w:t xml:space="preserve">Variante : Paiement à trente jours</w:t>
      </w:r>
    </w:p>
    <w:p>
      <w:pPr>
        <w:pStyle w:val="Corps"/>
      </w:pPr>
      <w:r>
        <w:t xml:space="preserve">Le délai convenu est de [Délai légal supplétif maximal] jours à compter de la réception des marchandises ou de l'exécution de la prestation demandée. La facture et les éléments permettant d'identifier la prestation sont transmis sans retard indu. Une vérification ou une acceptation distincte ne peut décaler le point de départ ou prolonger le délai maximal que dans les conditions expressément admises par les règles applicables et sans abus à l'égard du créancier.</w:t>
      </w:r>
    </w:p>
    <w:p>
      <w:pPr>
        <w:pStyle w:val="Variante"/>
      </w:pPr>
      <w:r>
        <w:t xml:space="preserve">Variante : Paiement à quarante-cinq jours fin de mois</w:t>
      </w:r>
    </w:p>
    <w:p>
      <w:pPr>
        <w:pStyle w:val="Corps"/>
      </w:pPr>
      <w:r>
        <w:t xml:space="preserve">Le délai convenu est de [Délai maximal fin de mois] jours fin de mois à compter de la date d'émission de la facture. La méthode de calcul retenue est appliquée de façon constante et ne doit pas constituer un abus manifeste à l'égard du créancier. La facture mentionne clairement sa date d'échéance. Une procédure d'acceptation ne peut reporter cette échéance au-delà de ce qui a été expressément et licitement convenu.</w:t>
      </w:r>
    </w:p>
    <w:p>
      <w:pPr>
        <w:pStyle w:val="Variante"/>
      </w:pPr>
      <w:r>
        <w:t xml:space="preserve">Variante : Paiement à soixante jours</w:t>
      </w:r>
    </w:p>
    <w:p>
      <w:pPr>
        <w:pStyle w:val="Corps"/>
      </w:pPr>
      <w:r>
        <w:t xml:space="preserve">Le délai convenu est de [Délai convenu maximal depuis facture] jours à compter de la date d'émission de la facture. La facture précise l'échéance correspondante et les conditions de règlement. Les parties ne peuvent cumuler cette modalité avec un mécanisme qui aurait pour effet de dépasser indirectement le plafond applicable. Les réserves portant sur une partie de la facture n'autorisent pas la suspension du paiement des prestations non contestées.</w:t>
      </w:r>
    </w:p>
    <w:p>
      <w:pPr>
        <w:pStyle w:val="Intertitre"/>
      </w:pPr>
      <w:r>
        <w:t xml:space="preserve">Acceptation — choisir une seule variante</w:t>
      </w:r>
    </w:p>
    <w:p>
      <w:pPr>
        <w:pStyle w:val="Variante"/>
      </w:pPr>
      <w:r>
        <w:t xml:space="preserve">Variante : Acceptation expresse</w:t>
      </w:r>
    </w:p>
    <w:p>
      <w:pPr>
        <w:pStyle w:val="Corps"/>
      </w:pPr>
      <w:r>
        <w:t xml:space="preserve">Le Client examine les livrables pendant [Délai d'examen des livrables] au regard de [Critères d'acceptation]. Il notifie son acceptation ou des réserves précises selon [Notification de l'acceptation ou des réserves]. Une réserve identifie le critère non satisfait, les éléments observés et, lorsque cela est possible, les conditions de reproduction. Le Prestataire traite les non-conformités qui lui sont imputables conformément à [Traitement des réserves], remet une version corrigée et ouvre un nouveau contrôle limité aux points concernés. L'usage du livrable ne vaut pas renonciation aux réserves régulièrement formulées.</w:t>
      </w:r>
    </w:p>
    <w:p>
      <w:pPr>
        <w:pStyle w:val="Variante"/>
      </w:pPr>
      <w:r>
        <w:t xml:space="preserve">Variante : Acceptation tacite encadrée</w:t>
      </w:r>
    </w:p>
    <w:p>
      <w:pPr>
        <w:pStyle w:val="Corps"/>
      </w:pPr>
      <w:r>
        <w:t xml:space="preserve">Le Client dispose du délai borné [Délai d'examen des livrables] pour contrôler les livrables et notifier des réserves motivées selon [Notification de l'acceptation ou des réserves]. À défaut de notification dans ce délai, l'acceptation devient tacite pour les seuls critères objectivement vérifiables et les éléments effectivement remis. Les anomalies non décelables lors du contrôle initial restent régies par les garanties applicables. Cette procédure ne reporte ni le point de départ ni le délai maximal de paiement, sauf stipulation expresse licite et non abusive.</w:t>
      </w:r>
    </w:p>
    <w:p>
      <w:pPr>
        <w:pStyle w:val="Variante"/>
      </w:pPr>
      <w:r>
        <w:t xml:space="preserve">Variante : Absence de procédure d'acceptation</w:t>
      </w:r>
    </w:p>
    <w:p>
      <w:pPr>
        <w:pStyle w:val="Corps"/>
      </w:pPr>
      <w:r>
        <w:t xml:space="preserve">Aucune procédure formelle d'acceptation n'est convenue. La remise des livrables décrits dans [Description des livrables] est constatée selon [Notification de l'acceptation ou des réserves] et permet d'établir la date et la version remises. Cette constatation ne crée ni acceptation tacite, ni renonciation aux droits tirés d'une inexécution, ni report de l'échéance de paiement sélectionnée. Les éventuelles non-conformités sont traitées selon les garanties et mécanismes de remédiation applicables au contrat.</w:t>
      </w:r>
    </w:p>
    <w:p>
      <w:pPr>
        <w:pStyle w:val="Intertitre"/>
      </w:pPr>
      <w:r>
        <w:t xml:space="preserve">Clause optionnelle : Garanties et remédiation</w:t>
      </w:r>
    </w:p>
    <w:p>
      <w:pPr>
        <w:pStyle w:val="Corps"/>
      </w:pPr>
      <w:r>
        <w:t xml:space="preserve">Les garanties contractuelles, leur durée, leur point de départ et leurs exclusions sont les suivants : [Périmètre des garanties]. Le Client notifie toute non-conformité avec les informations utiles à son analyse. Une non-conformité confirmée est traitée selon la procédure traçable suivante : [Procédure de remédiation]. Cette procédure précise la correction, le nouveau contrôle et la clôture de l'incident. Elle ne couvre pas les modifications non autorisées, les usages contraires à la documentation ou les causes étrangères au Prestataire, sauf stipulation contraire.</w:t>
      </w:r>
    </w:p>
    <w:p>
      <w:pPr>
        <w:pStyle w:val="Intertitre"/>
      </w:pPr>
      <w:r>
        <w:t xml:space="preserve">Clause optionnelle : Éléments antérieurs</w:t>
      </w:r>
    </w:p>
    <w:p>
      <w:pPr>
        <w:pStyle w:val="Corps"/>
      </w:pPr>
      <w:r>
        <w:t xml:space="preserve">Les créations, outils, méthodes, données, logiciels, marques et autres éléments antérieurs de chaque partie sont recensés dans [Inventaire des éléments antérieurs]. Ils demeurent la propriété de leur titulaire. Le contrat de prestation n'emporte, à lui seul, aucun transfert de ces droits. Leur utilisation par l'autre partie est limitée à ce qui est expressément nécessaire à l'exécution ou à l'usage autorisé des livrables, pour la durée correspondante, et cesse lorsque cette nécessité disparaît.</w:t>
      </w:r>
    </w:p>
    <w:p>
      <w:pPr>
        <w:pStyle w:val="Intertitre"/>
      </w:pPr>
      <w:r>
        <w:t xml:space="preserve">Clause optionnelle : Éléments de tiers et logiciels libres</w:t>
      </w:r>
    </w:p>
    <w:p>
      <w:pPr>
        <w:pStyle w:val="Corps"/>
      </w:pPr>
      <w:r>
        <w:t xml:space="preserve">Les éléments de tiers incorporés aux livrables ou nécessaires à leur utilisation sont recensés dans [Inventaire des éléments de tiers]. Ils restent soumis aux licences, restrictions, obligations d'attribution et conditions de redistribution suivantes : [Conditions des licences de tiers]. Le Prestataire informe le Client des incompatibilités identifiées avec l'usage prévu et ne concède aucun droit qu'il ne détient pas. Toute substitution d'un composant entraînant une contrainte substantielle suit la procédure de changement.</w:t>
      </w:r>
    </w:p>
    <w:p>
      <w:pPr>
        <w:pStyle w:val="Intertitre"/>
      </w:pPr>
      <w:r>
        <w:t xml:space="preserve">Propriété intellectuelle — choisir une seule variante</w:t>
      </w:r>
    </w:p>
    <w:p>
      <w:pPr>
        <w:pStyle w:val="Variante"/>
      </w:pPr>
      <w:r>
        <w:t xml:space="preserve">Variante : Absence de licence ou de cession nouvelle</w:t>
      </w:r>
    </w:p>
    <w:p>
      <w:pPr>
        <w:pStyle w:val="Corps"/>
      </w:pPr>
      <w:r>
        <w:t xml:space="preserve">Le présent contrat n'emporte aucune licence ni cession nouvelle de droits de propriété intellectuelle sur les livrables, au-delà des autorisations déjà détenues et expressément identifiées. Chaque partie conserve ses droits antérieurs et les droits acquis auprès de tiers. La remise matérielle d'un fichier, d'un support ou d'un accès ne vaut pas transfert de droits. Tout usage, adaptation, reproduction, diffusion ou exploitation supplémentaire exige un accord écrit distinct précisant son périmètre.</w:t>
      </w:r>
    </w:p>
    <w:p>
      <w:pPr>
        <w:pStyle w:val="Variante"/>
      </w:pPr>
      <w:r>
        <w:t xml:space="preserve">Variante : Licence sur les livrables</w:t>
      </w:r>
    </w:p>
    <w:p>
      <w:pPr>
        <w:pStyle w:val="Corps"/>
      </w:pPr>
      <w:r>
        <w:t xml:space="preserve">Le Prestataire concède au Client les droits suivants : [Droits concédés sous-licence], pour la destination [Destination de la licence], sur le territoire [Territoire de la licence] et pendant [Durée de la licence]. La licence est assortie de l'exclusivité suivante : [Exclusivité de la licence], et des facultés de sous-licence suivantes : [Droits de sous-licence]. Les droits non expressément concédés demeurent réservés. La licence prend effet selon les conditions financières convenues et reste soumise aux droits antérieurs et éléments de tiers identifiés au contrat.</w:t>
      </w:r>
    </w:p>
    <w:p>
      <w:pPr>
        <w:pStyle w:val="Variante"/>
      </w:pPr>
      <w:r>
        <w:t xml:space="preserve">Variante : Cession des droits sur les livrables</w:t>
      </w:r>
    </w:p>
    <w:p>
      <w:pPr>
        <w:pStyle w:val="Corps"/>
      </w:pPr>
      <w:r>
        <w:t xml:space="preserve">Le Prestataire cède distinctement les droits suivants : [Droits cédés], pour les modes d'exploitation [Modes d'exploitation cédés], la destination [Destination de la cession], le territoire [Territoire de la cession] et la durée [Durée de la cession]. La rémunération propre à cette cession est fixée à [Rémunération de la cession]. Les droits non expressément visés demeurent au cédant. La cession ne couvre que les contributions dont la chaîne de titularité et le pouvoir de disposition ont été contrôlés, à l'exclusion des éléments antérieurs et des droits de tiers identifiés.</w:t>
      </w:r>
    </w:p>
    <w:p>
      <w:pPr>
        <w:pStyle w:val="Intertitre"/>
      </w:pPr>
      <w:r>
        <w:t xml:space="preserve">Confidentialité</w:t>
      </w:r>
    </w:p>
    <w:p>
      <w:pPr>
        <w:pStyle w:val="Corps"/>
      </w:pPr>
      <w:r>
        <w:t xml:space="preserve">Les informations confidentielles, quels que soient leur support et leur mode de communication, sont définies dans [Définition des informations confidentielles]. Chaque partie les utilise exclusivement pour l'exécution du contrat, en limite l'accès aux personnes qui en ont besoin et leur impose une protection équivalente. Ces obligations s'appliquent pendant [Durée de confidentialité]. Elles ne couvrent pas les informations dont le destinataire démontre qu'elles étaient licitement publiques, déjà connues, reçues d'un tiers autorisé ou développées indépendamment. Toute divulgation légalement requise est limitée et, si possible, annoncée à l'autre partie.</w:t>
      </w:r>
    </w:p>
    <w:p>
      <w:pPr>
        <w:pStyle w:val="Intertitre"/>
      </w:pPr>
      <w:r>
        <w:t xml:space="preserve">Rôles RGPD — choisir une seule variante</w:t>
      </w:r>
    </w:p>
    <w:p>
      <w:pPr>
        <w:pStyle w:val="Variante"/>
      </w:pPr>
      <w:r>
        <w:t xml:space="preserve">Variante : Absence de traitement de données personnelles</w:t>
      </w:r>
    </w:p>
    <w:p>
      <w:pPr>
        <w:pStyle w:val="Corps"/>
      </w:pPr>
      <w:r>
        <w:t xml:space="preserve">Les parties confirment que le périmètre actuel est le suivant : [Périmètre des données personnelles] et n'implique pas de traitement de données personnelles pour le compte de l'autre partie. Chacune demeure responsable des données qu'elle traite pour ses besoins propres. Si la prestation évolue et implique un traitement de données personnelles, les parties suspendent le flux concerné, qualifient leurs rôles, documentent les finalités, les catégories de données et les mesures de sécurité, puis concluent les actes requis avant le début du traitement.</w:t>
      </w:r>
    </w:p>
    <w:p>
      <w:pPr>
        <w:pStyle w:val="Variante"/>
      </w:pPr>
      <w:r>
        <w:t xml:space="preserve">Variante : Sous-traitance de données et DPA</w:t>
      </w:r>
    </w:p>
    <w:p>
      <w:pPr>
        <w:pStyle w:val="Corps"/>
      </w:pPr>
      <w:r>
        <w:t xml:space="preserve">Le traitement confié au Prestataire a pour objet [Objet du traitement], pour la durée [Durée du traitement], les finalités [Finalités du traitement], les catégories de données [Catégories de données] et les catégories de personnes [Catégories de personnes concernées]. Le Prestataire agit uniquement selon [Instructions documentées du Client], assure la confidentialité et la sécurité, encadre ses sous-traitants ultérieurs et assiste le Client dans la mesure requise. Aucun traitement ne débute avant la signature de l'accord référencé [Référence du DPA], qui organise notamment les incidents, audits, restitutions et suppressions.</w:t>
      </w:r>
    </w:p>
    <w:p>
      <w:pPr>
        <w:pStyle w:val="Variante"/>
      </w:pPr>
      <w:r>
        <w:t xml:space="preserve">Variante : Responsables de traitement autonomes</w:t>
      </w:r>
    </w:p>
    <w:p>
      <w:pPr>
        <w:pStyle w:val="Corps"/>
      </w:pPr>
      <w:r>
        <w:t xml:space="preserve">Chaque partie détermine seule les finalités et les moyens des traitements qui lui sont propres et répond de leur licéité. La répartition des traitements, obligations d'information, demandes de droits, durées de conservation, mesures de sécurité et incidents est fixée par [Répartition entre responsables autonomes]. Aucune partie ne donne d'instruction à l'autre sur ses traitements autonomes. Lorsqu'un nouveau flux modifie cette qualification, les parties le documentent et adaptent leurs engagements avant sa mise en œuvre.</w:t>
      </w:r>
    </w:p>
    <w:p>
      <w:pPr>
        <w:pStyle w:val="Variante"/>
      </w:pPr>
      <w:r>
        <w:t xml:space="preserve">Variante : Responsables conjoints du traitement</w:t>
      </w:r>
    </w:p>
    <w:p>
      <w:pPr>
        <w:pStyle w:val="Corps"/>
      </w:pPr>
      <w:r>
        <w:t xml:space="preserve">Lorsque les parties déterminent conjointement les finalités et les moyens d'un traitement, elles appliquent l'accord [Accord de responsabilité conjointe]. Cet accord répartit de manière transparente les obligations d'information, la gestion des droits, la sécurité, les incidents, les durées de conservation et les relations avec l'autorité de contrôle. Il désigne un point de contact et rend accessibles aux personnes concernées les éléments essentiels de cette répartition. Cette organisation n'affecte pas l'exercice de leurs droits à l'égard de chaque responsable.</w:t>
      </w:r>
    </w:p>
    <w:p>
      <w:pPr>
        <w:pStyle w:val="Intertitre"/>
      </w:pPr>
      <w:r>
        <w:t xml:space="preserve">Clause optionnelle : Sécurité</w:t>
      </w:r>
    </w:p>
    <w:p>
      <w:pPr>
        <w:pStyle w:val="Corps"/>
      </w:pPr>
      <w:r>
        <w:t xml:space="preserve">Chaque partie applique les mesures techniques et organisationnelles suivantes : [Mesures de sécurité], proportionnées aux risques, aux données et aux accès concernés. Elle contrôle les habilitations, protège les secrets d'authentification, maintient ses moyens et conserve les traces utiles. Elle informe l'autre de tout incident significatif dans [Délai d'alerte de sécurité], en communiquant les éléments disponibles sans spéculation. Les parties coopèrent à la qualification, à la limitation, à la documentation et, lorsque cela leur incombe, aux notifications requises.</w:t>
      </w:r>
    </w:p>
    <w:p>
      <w:pPr>
        <w:pStyle w:val="Intertitre"/>
      </w:pPr>
      <w:r>
        <w:t xml:space="preserve">Responsabilité — choisir une seule variante</w:t>
      </w:r>
    </w:p>
    <w:p>
      <w:pPr>
        <w:pStyle w:val="Variante"/>
      </w:pPr>
      <w:r>
        <w:t xml:space="preserve">Variante : Responsabilité plafonnée</w:t>
      </w:r>
    </w:p>
    <w:p>
      <w:pPr>
        <w:pStyle w:val="Corps"/>
      </w:pPr>
      <w:r>
        <w:t xml:space="preserve">Les préjudices réparables sont délimités par [Catégories de préjudices réparables] et les préjudices exclus par [Catégories de préjudices exclues]. Sous réserve de leur validité et des exceptions impératives, la responsabilité globale est plafonnée à [Montant du plafond de responsabilité] selon l'assiette [Assiette du plafond de responsabilité]. Les exceptions au plafond sont les suivantes : [Exclusions du plafond de responsabilité]. Chaque partie prend les mesures raisonnables pour limiter son préjudice et conserve les éléments permettant d'établir le manquement, le dommage réparable et le lien de causalité.</w:t>
      </w:r>
    </w:p>
    <w:p>
      <w:pPr>
        <w:pStyle w:val="Variante"/>
      </w:pPr>
      <w:r>
        <w:t xml:space="preserve">Variante : Responsabilité sans plafond contractuel général</w:t>
      </w:r>
    </w:p>
    <w:p>
      <w:pPr>
        <w:pStyle w:val="Corps"/>
      </w:pPr>
      <w:r>
        <w:t xml:space="preserve">Les parties ne retiennent aucun plafond contractuel général de responsabilité. Chaque demande reste soumise au régime applicable et à la preuve d'un manquement, d'un préjudice réparable et d'un lien de causalité. La partie qui subit un dommage prend les mesures raisonnables permettant d'en limiter l'aggravation et en informe l'autre dans un délai utile. Les exclusions ou limitations interdites par une règle impérative demeurent sans effet, sans que cette clause crée une garantie ou une responsabilité indépendante des obligations convenues.</w:t>
      </w:r>
    </w:p>
    <w:p>
      <w:pPr>
        <w:pStyle w:val="Intertitre"/>
      </w:pPr>
      <w:r>
        <w:t xml:space="preserve">Clause optionnelle : Assurances</w:t>
      </w:r>
    </w:p>
    <w:p>
      <w:pPr>
        <w:pStyle w:val="Corps"/>
      </w:pPr>
      <w:r>
        <w:t xml:space="preserve">Le Prestataire maintient pendant la durée utile les polices suivantes : [Polices d'assurance], auprès d'assureurs habilités et pour des montants cohérents avec les risques assumés. Il remet les attestations convenues sur demande et respecte les obligations nécessaires au maintien des garanties. Il informe le Client de toute suspension, résiliation ou réduction substantielle de couverture susceptible d'affecter la mission. L'existence d'une assurance ne limite pas la responsabilité contractuelle et ne vaut pas reconnaissance de garantie pour un risque exclu.</w:t>
      </w:r>
    </w:p>
    <w:p>
      <w:pPr>
        <w:pStyle w:val="Intertitre"/>
      </w:pPr>
      <w:r>
        <w:t xml:space="preserve">Force majeure</w:t>
      </w:r>
    </w:p>
    <w:p>
      <w:pPr>
        <w:pStyle w:val="Corps"/>
      </w:pPr>
      <w:r>
        <w:t xml:space="preserve">La partie empêchée notifie l'événement dans [Délai de notification de la force majeure], en décrit la nature, les obligations affectées et la durée prévisible, puis fournit les éléments raisonnablement disponibles. Elle prend les mesures appropriées pour limiter les effets de l'empêchement et reprend l'exécution dès que possible. Les seules obligations effectivement empêchées sont suspendues. Si l'empêchement est définitif, ou si sa durée compromet l'objet du contrat, les parties appliquent les conséquences prévues par le droit applicable et organisent la cessation des prestations concernées.</w:t>
      </w:r>
    </w:p>
    <w:p>
      <w:pPr>
        <w:pStyle w:val="Intertitre"/>
      </w:pPr>
      <w:r>
        <w:t xml:space="preserve">Date d'effet et durée initiale</w:t>
      </w:r>
    </w:p>
    <w:p>
      <w:pPr>
        <w:pStyle w:val="Corps"/>
      </w:pPr>
      <w:r>
        <w:t xml:space="preserve">Le contrat prend effet à [Date d'effet] pour une durée initiale de [Durée initiale]. Les obligations préparatoires expressément identifiées peuvent être exécutées avant cette date sans avancer le terme contractuel. L'arrivée du terme n'affecte pas les droits et obligations qui, par leur nature ou leur objet, doivent survivre, notamment en matière de confidentialité, de propriété intellectuelle, de données, de paiement et de responsabilité. Toute prolongation ou reconduction dépend exclusivement du régime de renouvellement sélectionné.</w:t>
      </w:r>
    </w:p>
    <w:p>
      <w:pPr>
        <w:pStyle w:val="Intertitre"/>
      </w:pPr>
      <w:r>
        <w:t xml:space="preserve">Renouvellement — choisir une seule variante</w:t>
      </w:r>
    </w:p>
    <w:p>
      <w:pPr>
        <w:pStyle w:val="Variante"/>
      </w:pPr>
      <w:r>
        <w:t xml:space="preserve">Variante : Absence de renouvellement</w:t>
      </w:r>
    </w:p>
    <w:p>
      <w:pPr>
        <w:pStyle w:val="Corps"/>
      </w:pPr>
      <w:r>
        <w:t xml:space="preserve">Le contrat prend fin au terme de sa durée initiale, sans formalité de dénonciation ni reconduction automatique. Sa poursuite au-delà du terme ne crée pas, à elle seule, un renouvellement aux mêmes conditions. Toute nouvelle période exige un accord exprès signé par les personnes habilitées, précisant sa durée, son périmètre et ses conditions financières. Les parties anticipent suffisamment les opérations de clôture et de réversibilité éventuellement applicables.</w:t>
      </w:r>
    </w:p>
    <w:p>
      <w:pPr>
        <w:pStyle w:val="Variante"/>
      </w:pPr>
      <w:r>
        <w:t xml:space="preserve">Variante : Renouvellement exprès</w:t>
      </w:r>
    </w:p>
    <w:p>
      <w:pPr>
        <w:pStyle w:val="Corps"/>
      </w:pPr>
      <w:r>
        <w:t xml:space="preserve">Le contrat peut être renouvelé pour une durée de [Durée de renouvellement] uniquement par un écrit signé avant son terme par les personnes habilitées. Cet écrit précise au minimum la nouvelle période et les éventuelles modifications de périmètre, de prix ou de calendrier. L'absence d'accord écrit ne vaut pas renouvellement. Jusqu'au terme, les parties préparent soit la nouvelle période, soit la clôture et les opérations de sortie prévues au contrat.</w:t>
      </w:r>
    </w:p>
    <w:p>
      <w:pPr>
        <w:pStyle w:val="Variante"/>
      </w:pPr>
      <w:r>
        <w:t xml:space="preserve">Variante : Reconduction automatique</w:t>
      </w:r>
    </w:p>
    <w:p>
      <w:pPr>
        <w:pStyle w:val="Corps"/>
      </w:pPr>
      <w:r>
        <w:t xml:space="preserve">À son terme, le contrat se reconduit automatiquement pour des périodes de [Durée de renouvellement], sauf notification de non-renouvellement respectant un préavis de [Préavis de non-renouvellement] et les modalités de preuve convenues. La reconduction maintient les stipulations en vigueur, sous réserve des évolutions expressément prévues et licites. Une demande de modification substantielle ne vaut pas dénonciation. La cessation à l'issue d'une période reconduite déclenche les opérations de clôture et de réversibilité applicables.</w:t>
      </w:r>
    </w:p>
    <w:p>
      <w:pPr>
        <w:pStyle w:val="Intertitre"/>
      </w:pPr>
      <w:r>
        <w:t xml:space="preserve">Suspension</w:t>
      </w:r>
    </w:p>
    <w:p>
      <w:pPr>
        <w:pStyle w:val="Corps"/>
      </w:pPr>
      <w:r>
        <w:t xml:space="preserve">Une partie ne peut suspendre son exécution que dans les conditions suivantes : [Conditions de suspension]. Sauf urgence ou impossibilité, elle notifie au préalable le manquement, les obligations concernées, la date envisagée et les mesures permettant d'éviter la suspension. La mesure reste proportionnée, limitée aux obligations affectées et sans incidence inutile sur les prestations séparables. Elle est levée dès disparition de sa cause. La suspension n'emporte ni renonciation aux autres remèdes, ni prolongation automatique non documentée du calendrier.</w:t>
      </w:r>
    </w:p>
    <w:p>
      <w:pPr>
        <w:pStyle w:val="Intertitre"/>
      </w:pPr>
      <w:r>
        <w:t xml:space="preserve">Régularisation et résiliation</w:t>
      </w:r>
    </w:p>
    <w:p>
      <w:pPr>
        <w:pStyle w:val="Corps"/>
      </w:pPr>
      <w:r>
        <w:t xml:space="preserve">Lorsqu'une régularisation est possible, la partie défaillante dispose du délai [Délai de régularisation] à compter d'une notification suffisamment précise. Les cas de résiliation sont limités à [Cas de résiliation]. La notification de résiliation identifie son fondement, sa date d'effet et les obligations concernées. Les conséquences financières, opérationnelles et documentaires sont organisées par [Effets de la résiliation]. La cessation n'affecte pas les droits acquis, les sommes exigibles ni les stipulations destinées à survivre, et ne prive aucune partie des sanctions légalement disponibles.</w:t>
      </w:r>
    </w:p>
    <w:p>
      <w:pPr>
        <w:pStyle w:val="Intertitre"/>
      </w:pPr>
      <w:r>
        <w:t xml:space="preserve">Clause optionnelle : Sortie et réversibilité</w:t>
      </w:r>
    </w:p>
    <w:p>
      <w:pPr>
        <w:pStyle w:val="Corps"/>
      </w:pPr>
      <w:r>
        <w:t xml:space="preserve">À la cessation du contrat, quelle qu'en soit la cause, les parties exécutent les prestations de sortie suivantes : [Prestations de réversibilité] pendant [Durée de la réversibilité]. Le Prestataire organise la restitution ou la suppression des données, la remise des éléments appartenant au Client, le transfert des connaissances et la coopération avec le Client ou son successeur. Les parties identifient les formats, responsabilités, dépendances, coûts et preuves de réalisation. La réversibilité ne permet pas d'exiger la cession de droits non prévue ni la divulgation d'informations protégées sans nécessité.</w:t>
      </w:r>
    </w:p>
    <w:p>
      <w:pPr>
        <w:pStyle w:val="Intertitre"/>
      </w:pPr>
      <w:r>
        <w:t xml:space="preserve">Notifications</w:t>
      </w:r>
    </w:p>
    <w:p>
      <w:pPr>
        <w:pStyle w:val="Corps"/>
      </w:pPr>
      <w:r>
        <w:t xml:space="preserve">Les notifications contractuelles sont adressées aux coordonnées suivantes : [Coordonnées de notification]. Elles utilisent les modes d'envoi et règles de preuve suivants : [Modes de notification]. Une notification indique son objet, le contrat concerné et, lorsqu'elle fait courir un délai, les faits et mesures attendues. Chaque partie signale rapidement tout changement de coordonnées. Une communication opérationnelle ordinaire ne vaut pas notification formelle lorsque le contrat exige une forme particulière, sauf confirmation conforme par une personne habilitée.</w:t>
      </w:r>
    </w:p>
    <w:p>
      <w:pPr>
        <w:pStyle w:val="Intertitre"/>
      </w:pPr>
      <w:r>
        <w:t xml:space="preserve">Clause optionnelle : Droit applicable et règlement des litiges</w:t>
      </w:r>
    </w:p>
    <w:p>
      <w:pPr>
        <w:pStyle w:val="Corps"/>
      </w:pPr>
      <w:r>
        <w:t xml:space="preserve">Le contrat est régi par [Droit applicable]. En cas de difficulté, les parties échangent les informations utiles et suivent avant toute saisine le processus amiable suivant : [Processus amiable de règlement], sans compromettre une mesure urgente, conservatoire ou un délai impératif. À défaut d'accord, le différend relève de [Juridiction ou mode de décision], sous réserve des règles de compétence impératives. La présente clause ne modifie ni la charge de la preuve ni les conditions de validité d'une attribution de compétence.</w:t>
      </w:r>
    </w:p>
    <w:p>
      <w:pPr>
        <w:pStyle w:val="Intertitre"/>
      </w:pPr>
      <w:r>
        <w:t xml:space="preserve">Clause optionnelle : Annexes</w:t>
      </w:r>
    </w:p>
    <w:p>
      <w:pPr>
        <w:pStyle w:val="Corps"/>
      </w:pPr>
      <w:r>
        <w:t xml:space="preserve">Les annexes effectivement jointes sont recensées par leur titre, leur version et leur date dans [Inventaire des annexes]. Leur rang et le traitement des contradictions avec le corps du contrat sont définis par [Priorité des annexes]. Chaque partie s'assure qu'elle dispose de la même version au jour de la signature. Une annexe non identifiée, un document de travail ou une proposition antérieure n'est pas réputé accepté. Toute mise à jour ultérieure suit la procédure de changement et conserve la traçabilité de la version remplacée.</w:t>
      </w:r>
    </w:p>
    <w:p>
      <w:pPr>
        <w:pStyle w:val="Intertitre"/>
      </w:pPr>
      <w:r>
        <w:t xml:space="preserve">Clause optionnelle : Non-sollicitation</w:t>
      </w:r>
    </w:p>
    <w:p>
      <w:pPr>
        <w:pStyle w:val="Corps"/>
      </w:pPr>
      <w:r>
        <w:t xml:space="preserve">La non-sollicitation est limitée aux personnes, relations et comportements définis par [Périmètre de la non-sollicitation], pendant [Durée de la non-sollicitation]. Elle protège uniquement les intérêts légitimes liés à l'exécution de la mission et s'applique de manière proportionnée. Elle ne couvre pas une candidature spontanée non provoquée, une campagne générale non ciblée ou une relation antérieure démontrée, sauf stipulation licite contraire. Toute sanction éventuelle est appréciée selon les conditions convenues et ne prive pas la partie concernée de contester son application.</w:t>
      </w:r>
    </w:p>
    <w:p>
      <w:pPr>
        <w:pStyle w:val="Intertitre"/>
      </w:pPr>
      <w:r>
        <w:t xml:space="preserve">Clause optionnelle : Audit et reporting</w:t>
      </w:r>
    </w:p>
    <w:p>
      <w:pPr>
        <w:pStyle w:val="Corps"/>
      </w:pPr>
      <w:r>
        <w:t xml:space="preserve">Les audits et rapports portent exclusivement sur le périmètre [Périmètre de l'audit et du reporting] et respectent le préavis [Préavis d'audit], sauf urgence justifiée. La demande précise l'objet, les intervenants, les documents attendus et les modalités pratiques. Les contrôles sont réalisés pendant des horaires raisonnables, limitent la perturbation des activités et protègent les secrets, données et informations de tiers. Les constats sont discutés contradictoirement, les mesures correctrices sont suivies et les coûts sont répartis selon les conditions convenues.</w:t>
      </w:r>
    </w:p>
    <w:p>
      <w:pPr>
        <w:pStyle w:val="Intertitre"/>
      </w:pPr>
      <w:r>
        <w:t xml:space="preserve">Clause optionnelle : Signatures</w:t>
      </w:r>
    </w:p>
    <w:p>
      <w:pPr>
        <w:pStyle w:val="Corps"/>
      </w:pPr>
      <w:r>
        <w:t xml:space="preserve">Pour le Prestataire, [Nom du signataire du Prestataire] signe en qualité de [Qualité du signataire du Prestataire]. Pour le Client, [Nom du signataire du Client] signe en qualité de [Qualité du signataire du Client]. La signature intervient à [Lieu de signature], le [Date de signature], selon [Mode de signature]. Chaque signataire déclare disposer du pouvoir nécessaire et reçoit un exemplaire du contrat et de ses annexes identifiées. La signature électronique, lorsqu'elle est retenue, est organisée de manière à permettre l'identification du signataire, l'intégrité de l'acte et la conservation de la preuve.</w:t>
      </w:r>
    </w:p>
    <w:p>
      <w:pPr>
        <w:pStyle w:val="Mention"/>
      </w:pPr>
      <w:r>
        <w:t xml:space="preserve">Les variantes et clauses optionnelles ci-dessus sont proposées dans LegalProd selon les réponses saisies ; les blocs non retenus sont retirés du document final.</w:t>
      </w:r>
    </w:p>
    <w:sectPr>
      <w:pgSz w:w="11906" w:h="16838"/>
      <w:pgMar w:top="1418" w:right="1418" w:bottom="1418" w:left="1418"/>
    </w:sectPr>
  </w:body>
</w:document>
</file>

<file path=word/styles.xml><?xml version="1.0" encoding="utf-8"?>
<w:styles xmlns:w="http://schemas.openxmlformats.org/wordprocessingml/2006/main">
  <w:docDefaults>
    <w:rPrDefault>
      <w:rPr>
        <w:rFonts w:ascii="Calibri" w:hAnsi="Calibri"/>
        <w:sz w:val="22"/>
      </w:rPr>
    </w:rPrDefault>
  </w:docDefaults>
  <w:style w:type="paragraph" w:styleId="Titre">
    <w:name w:val="Titre"/>
    <w:pPr>
      <w:spacing w:before="360" w:after="120" w:line="276" w:lineRule="auto"/>
      <w:jc w:val="center"/>
    </w:pPr>
    <w:rPr>
      <w:sz w:val="32"/>
      <w:b/>
    </w:rPr>
  </w:style>
  <w:style w:type="paragraph" w:styleId="Intertitre">
    <w:name w:val="Intertitre"/>
    <w:pPr>
      <w:spacing w:before="280" w:after="120" w:line="276" w:lineRule="auto"/>
      <w:jc w:val="left"/>
    </w:pPr>
    <w:rPr>
      <w:sz w:val="24"/>
      <w:b/>
    </w:rPr>
  </w:style>
  <w:style w:type="paragraph" w:styleId="Variante">
    <w:name w:val="Variante"/>
    <w:pPr>
      <w:spacing w:before="240" w:after="120" w:line="276" w:lineRule="auto"/>
      <w:jc w:val="left"/>
    </w:pPr>
    <w:rPr>
      <w:sz w:val="21"/>
      <w:b/>
    </w:rPr>
  </w:style>
  <w:style w:type="paragraph" w:styleId="Corps">
    <w:name w:val="Corps"/>
    <w:pPr>
      <w:spacing w:before="160" w:after="120" w:line="276" w:lineRule="auto"/>
      <w:jc w:val="both"/>
    </w:pPr>
    <w:rPr>
      <w:sz w:val="22"/>
    </w:rPr>
  </w:style>
  <w:style w:type="paragraph" w:styleId="Mention">
    <w:name w:val="Mention"/>
    <w:pPr>
      <w:spacing w:before="320" w:after="120" w:line="276" w:lineRule="auto"/>
      <w:jc w:val="left"/>
    </w:pPr>
    <w:rPr>
      <w:sz w:val="18"/>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