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LICENCE D'EXPLOITATION DE MARQUE</w:t>
      </w:r>
    </w:p>
    <w:p>
      <w:pPr>
        <w:pStyle w:val="Intertitre"/>
      </w:pPr>
      <w:r>
        <w:t xml:space="preserve">Forme du Concédant — choisir une seule variante</w:t>
      </w:r>
    </w:p>
    <w:p>
      <w:pPr>
        <w:pStyle w:val="Variante"/>
      </w:pPr>
      <w:r>
        <w:t xml:space="preserve">Variante : Le Concédant personne physique</w:t>
      </w:r>
    </w:p>
    <w:p>
      <w:pPr>
        <w:pStyle w:val="Corps"/>
      </w:pPr>
      <w:r>
        <w:t xml:space="preserve">Le présent contrat est conclu avec [Identité du Concédant personne physique], agissant en son nom, ci-après le Concédant. Le Concédant communique son identité professionnelle, son adresse et les éléments établissant sa titularité. Il signale toute modification susceptible d'affecter les marques, les pouvoirs d'exploitation ou les formalités prévues.</w:t>
      </w:r>
    </w:p>
    <w:p>
      <w:pPr>
        <w:pStyle w:val="Variante"/>
      </w:pPr>
      <w:r>
        <w:t xml:space="preserve">Variante : Le Concédant personne morale</w:t>
      </w:r>
    </w:p>
    <w:p>
      <w:pPr>
        <w:pStyle w:val="Corps"/>
      </w:pPr>
      <w:r>
        <w:t xml:space="preserve">Le présent contrat est conclu avec [Identité du Concédant personne morale], représentée par [Représentant du Concédant], ci-après le Concédant. La personne morale communique sa forme, son siège, son immatriculation et le pouvoir du représentant. Elle demeure titulaire des obligations de licence et signale tout changement affectant sa représentation ou ses droits.</w:t>
      </w:r>
    </w:p>
    <w:p>
      <w:pPr>
        <w:pStyle w:val="Intertitre"/>
      </w:pPr>
      <w:r>
        <w:t xml:space="preserve">Forme du Licencié — choisir une seule variante</w:t>
      </w:r>
    </w:p>
    <w:p>
      <w:pPr>
        <w:pStyle w:val="Variante"/>
      </w:pPr>
      <w:r>
        <w:t xml:space="preserve">Variante : Le Licencié personne physique</w:t>
      </w:r>
    </w:p>
    <w:p>
      <w:pPr>
        <w:pStyle w:val="Corps"/>
      </w:pPr>
      <w:r>
        <w:t xml:space="preserve">L'autre Partie est [Identité du Licencié personne physique], agissant en son nom, ci-après le Licencié. Le Licencié communique son identité professionnelle, son adresse, son immatriculation et les autorisations utiles à son activité. Il informe le Concédant de tout changement affectant l'exploitation concédée.</w:t>
      </w:r>
    </w:p>
    <w:p>
      <w:pPr>
        <w:pStyle w:val="Variante"/>
      </w:pPr>
      <w:r>
        <w:t xml:space="preserve">Variante : Le Licencié personne morale</w:t>
      </w:r>
    </w:p>
    <w:p>
      <w:pPr>
        <w:pStyle w:val="Corps"/>
      </w:pPr>
      <w:r>
        <w:t xml:space="preserve">L'autre Partie est [Identité du Licencié personne morale], représentée par [Représentant du Licencié], ci-après le Licencié. La personne morale communique sa forme, son siège, son immatriculation et l'identité du représentant habilité. Elle reste responsable des personnes, fabricants et distributeurs qu'elle mobilise dans le périmètre autorisé.</w:t>
      </w:r>
    </w:p>
    <w:p>
      <w:pPr>
        <w:pStyle w:val="Intertitre"/>
      </w:pPr>
      <w:r>
        <w:t xml:space="preserve">Clause optionnelle : Capacité et pouvoirs</w:t>
      </w:r>
    </w:p>
    <w:p>
      <w:pPr>
        <w:pStyle w:val="Corps"/>
      </w:pPr>
      <w:r>
        <w:t xml:space="preserve">Le Concédant ou son représentant justifie de [Pouvoir ou capacité du Concédant]. Le Licencié ou son représentant justifie de [Pouvoir ou capacité du Licencié]. Les pièces sont vérifiées avant signature et conservées avec le contrat. Le contrôle porte sur leur actualité, leur périmètre et les limitations opposables. Aucun pouvoir ne résulte d'un simple intitulé ou d'une valeur de démonstration.</w:t>
      </w:r>
    </w:p>
    <w:p>
      <w:pPr>
        <w:pStyle w:val="Intertitre"/>
      </w:pPr>
      <w:r>
        <w:t xml:space="preserve">Marques concédées</w:t>
      </w:r>
    </w:p>
    <w:p>
      <w:pPr>
        <w:pStyle w:val="Corps"/>
      </w:pPr>
      <w:r>
        <w:t xml:space="preserve">La licence porte exclusivement sur [Marques concédées] pour les produits et services [Produits et services enregistrés]. Aucun autre signe, classe ou droit n'est implicitement concédé. Le portefeuille indique pour chaque signe son numéro, son territoire, ses classes, son titulaire inscrit, son statut et les échéances connues. Les demandes, renouvellements, licences, sûretés, oppositions et litiges sont individualisés dans les annexes.</w:t>
      </w:r>
    </w:p>
    <w:p>
      <w:pPr>
        <w:pStyle w:val="Intertitre"/>
      </w:pPr>
      <w:r>
        <w:t xml:space="preserve">Titularité et droits antérieurs</w:t>
      </w:r>
    </w:p>
    <w:p>
      <w:pPr>
        <w:pStyle w:val="Corps"/>
      </w:pPr>
      <w:r>
        <w:t xml:space="preserve">Le Concédant expose [Chaîne de titularité] et [Droits et charges existants]. Le Licencié reconnaît la titularité déclarée sans acquérir aucun droit de propriété sur les marques. La chaîne est rapprochée des registres et actes antérieurs à une date de contrôle identifiée. Les restrictions divulguées sont décrites avec leur portée. Le Concédant ne garantit aucun droit qui ne ressort pas des pièces ou qu'il ne peut concéder.</w:t>
      </w:r>
    </w:p>
    <w:p>
      <w:pPr>
        <w:pStyle w:val="Intertitre"/>
      </w:pPr>
      <w:r>
        <w:t xml:space="preserve">Exclusivité — choisir une seule variante</w:t>
      </w:r>
    </w:p>
    <w:p>
      <w:pPr>
        <w:pStyle w:val="Variante"/>
      </w:pPr>
      <w:r>
        <w:t xml:space="preserve">Variante : Licence non exclusive</w:t>
      </w:r>
    </w:p>
    <w:p>
      <w:pPr>
        <w:pStyle w:val="Corps"/>
      </w:pPr>
      <w:r>
        <w:t xml:space="preserve">Le Concédant accorde au Licencié une licence non exclusive sur [Territoire] pour [Usages autorisés] et peut exploiter ou concéder les mêmes droits à d'autres personnes. Le Licencié ne peut empêcher le Concédant ou un autre licencié d'exploiter le même périmètre. Il ne se présente pas comme exclusif. Les droits restent strictement limités aux marques, produits, canaux, usages, durée et territoires identifiés.</w:t>
      </w:r>
    </w:p>
    <w:p>
      <w:pPr>
        <w:pStyle w:val="Variante"/>
      </w:pPr>
      <w:r>
        <w:t xml:space="preserve">Variante : Licence exclusive</w:t>
      </w:r>
    </w:p>
    <w:p>
      <w:pPr>
        <w:pStyle w:val="Corps"/>
      </w:pPr>
      <w:r>
        <w:t xml:space="preserve">Sous réserve des droits préexistants et du droit de la concurrence, le Concédant accorde au Licencié l'exclusivité sur [Territoire] pour [Usages autorisés] et s'abstient de concéder un droit incompatible. Le contrat précise si le Concédant conserve un droit résiduel et traite les licences ou canaux antérieurs. L'exclusivité n'autorise aucune restriction caractérisée de concurrence. Les objectifs ou obligations d'exploitation qui la conditionnent sont mesurables et documentés.</w:t>
      </w:r>
    </w:p>
    <w:p>
      <w:pPr>
        <w:pStyle w:val="Variante"/>
      </w:pPr>
      <w:r>
        <w:t xml:space="preserve">Variante : Licence unique</w:t>
      </w:r>
    </w:p>
    <w:p>
      <w:pPr>
        <w:pStyle w:val="Corps"/>
      </w:pPr>
      <w:r>
        <w:t xml:space="preserve">Le Concédant n'accorde pas à un tiers une licence identique sur [Territoire] pour [Usages autorisés], mais conserve son propre droit d'exploitation dans ce périmètre. Le Licencié distingue cette exclusivité à l'égard des tiers du droit propre conservé par le Concédant. Les ventes directes, canaux réservés et droits préexistants sont identifiés. Aucune extension implicite ne résulte d'une absence de contestation.</w:t>
      </w:r>
    </w:p>
    <w:p>
      <w:pPr>
        <w:pStyle w:val="Intertitre"/>
      </w:pPr>
      <w:r>
        <w:t xml:space="preserve">Domaine d'utilisation</w:t>
      </w:r>
    </w:p>
    <w:p>
      <w:pPr>
        <w:pStyle w:val="Corps"/>
      </w:pPr>
      <w:r>
        <w:t xml:space="preserve">La licence est limitée à [Domaine d'utilisation], aux produits ou services enregistrés et aux canaux expressément autorisés. Tout usage hors périmètre requiert un avenant. Les usages autorisés sont définis par activité, gamme, clientèle, canal et destination. Le Licencié ne peut employer la marque comme dénomination, nom de domaine ou signe de certification hors des branches expressément activées.</w:t>
      </w:r>
    </w:p>
    <w:p>
      <w:pPr>
        <w:pStyle w:val="Intertitre"/>
      </w:pPr>
      <w:r>
        <w:t xml:space="preserve">Formes autorisées</w:t>
      </w:r>
    </w:p>
    <w:p>
      <w:pPr>
        <w:pStyle w:val="Corps"/>
      </w:pPr>
      <w:r>
        <w:t xml:space="preserve">Le Licencié utilise uniquement [Formes de la marque] conformément à la charte [Charte de marque], sans altération, combinaison ou traduction non approuvée. Les fichiers de référence, couleurs, proportions, mentions et règles de juxtaposition sont versionnés. Une adaptation nécessaire à un support ou une réglementation est soumise au processus d'approbation. La tolérance d'un écart ne modifie pas la charte.</w:t>
      </w:r>
    </w:p>
    <w:p>
      <w:pPr>
        <w:pStyle w:val="Intertitre"/>
      </w:pPr>
      <w:r>
        <w:t xml:space="preserve">Clause optionnelle : Canaux et comptes réservés</w:t>
      </w:r>
    </w:p>
    <w:p>
      <w:pPr>
        <w:pStyle w:val="Corps"/>
      </w:pPr>
      <w:r>
        <w:t xml:space="preserve">Les exclusions sont [Canaux et comptes réservés]. Toute modification est prospective, documentée et compatible avec l'exclusivité accordée. La liste distingue les canaux, comptes et partenaires concernés ainsi que sa date d'effet. Une évolution ne peut retirer rétroactivement un droit déjà exercé conformément au contrat. Elle demeure compatible avec la nature de l'exclusivité retenue.</w:t>
      </w:r>
    </w:p>
    <w:p>
      <w:pPr>
        <w:pStyle w:val="Intertitre"/>
      </w:pPr>
      <w:r>
        <w:t xml:space="preserve">Standards de qualité</w:t>
      </w:r>
    </w:p>
    <w:p>
      <w:pPr>
        <w:pStyle w:val="Corps"/>
      </w:pPr>
      <w:r>
        <w:t xml:space="preserve">Les produits et services portant la marque respectent [Standards de qualité]. Ces exigences protègent l'identité de la marque sans transférer au Concédant la direction du Licencié. Les critères sont objectifs, proportionnés et contrôlables pour chaque catégorie de produit ou service. Ils portent sur la sécurité, les performances, l'origine, la présentation et le service client. Ils ne permettent pas une direction générale de l'activité du Licencié.</w:t>
      </w:r>
    </w:p>
    <w:p>
      <w:pPr>
        <w:pStyle w:val="Intertitre"/>
      </w:pPr>
      <w:r>
        <w:t xml:space="preserve">Validation préalable</w:t>
      </w:r>
    </w:p>
    <w:p>
      <w:pPr>
        <w:pStyle w:val="Corps"/>
      </w:pPr>
      <w:r>
        <w:t xml:space="preserve">Avant commercialisation ou modification significative, le Licencié suit [Validation des échantillons] pour les produits, conditionnements, services et supports concernés. La procédure précise les pièces, quantités, délais, personnes habilitées et conséquences d'une absence de réponse. L'approbation vaut uniquement pour la version soumise. Elle ne dispense pas le Licencié de ses propres obligations réglementaires et de conformité.</w:t>
      </w:r>
    </w:p>
    <w:p>
      <w:pPr>
        <w:pStyle w:val="Intertitre"/>
      </w:pPr>
      <w:r>
        <w:t xml:space="preserve">Changements matériels</w:t>
      </w:r>
    </w:p>
    <w:p>
      <w:pPr>
        <w:pStyle w:val="Corps"/>
      </w:pPr>
      <w:r>
        <w:t xml:space="preserve">Le Licencié applique [Changements de production] avant tout changement de fabricant, matière, formule, site, processus ou contrôle susceptible d'affecter la qualité ou la réputation. La demande décrit le changement, son motif, ses tests et son incidence sur la qualité, la sécurité et la marque. Une urgence conservatoire est documentée. Le Licencié ne commercialise la nouvelle version avant l'accord requis et conserve l'historique.</w:t>
      </w:r>
    </w:p>
    <w:p>
      <w:pPr>
        <w:pStyle w:val="Intertitre"/>
      </w:pPr>
      <w:r>
        <w:t xml:space="preserve">Audit qualité</w:t>
      </w:r>
    </w:p>
    <w:p>
      <w:pPr>
        <w:pStyle w:val="Corps"/>
      </w:pPr>
      <w:r>
        <w:t xml:space="preserve">Le Concédant peut contrôler selon [Audit qualité]. Les constats sont communiqués contradictoirement et limités aux besoins de la licence. Le contrôle respecte un préavis raisonnable, la confidentialité, la sécurité des sites et les secrets sans rapport. Les constats sont étayés, discutés et classés par gravité. Les coûts supplémentaires ne sont imputés que selon les conditions convenues.</w:t>
      </w:r>
    </w:p>
    <w:p>
      <w:pPr>
        <w:pStyle w:val="Intertitre"/>
      </w:pPr>
      <w:r>
        <w:t xml:space="preserve">Non-conformité et remédiation</w:t>
      </w:r>
    </w:p>
    <w:p>
      <w:pPr>
        <w:pStyle w:val="Corps"/>
      </w:pPr>
      <w:r>
        <w:t xml:space="preserve">Tout écart suit [Remédiation]. Selon le risque, le Licencié suspend l'usage, isole les produits, corrige les supports et apporte la preuve de la remédiation. Le plan précise les lots, territoires, causes, mesures, responsables, délais et preuves de clôture. Le Concédant choisit uniquement les mesures proportionnées à la protection de la marque. Les produits sûrs et conformes ne sont pas bloqués sans justification.</w:t>
      </w:r>
    </w:p>
    <w:p>
      <w:pPr>
        <w:pStyle w:val="Intertitre"/>
      </w:pPr>
      <w:r>
        <w:t xml:space="preserve">Retrait et rappel</w:t>
      </w:r>
    </w:p>
    <w:p>
      <w:pPr>
        <w:pStyle w:val="Corps"/>
      </w:pPr>
      <w:r>
        <w:t xml:space="preserve">Les parties appliquent [Retrait et rappel] pour la traçabilité, l'alerte, les autorités, les clients, les communications et la répartition des actions nécessaires. La décision tient compte de la sécurité, de la réglementation, de la qualité et de la réputation. Les rôles, coûts, communications et relations avec les autorités sont documentés. Les parties conservent la traçabilité des lots et l'analyse des causes.</w:t>
      </w:r>
    </w:p>
    <w:p>
      <w:pPr>
        <w:pStyle w:val="Intertitre"/>
      </w:pPr>
      <w:r>
        <w:t xml:space="preserve">Communication et publicité</w:t>
      </w:r>
    </w:p>
    <w:p>
      <w:pPr>
        <w:pStyle w:val="Corps"/>
      </w:pPr>
      <w:r>
        <w:t xml:space="preserve">Les communications suivent [Validation des communications] et utilisent des allégations exactes, des versions approuvées et les mentions réglementaires nécessaires. Chaque validation identifie le support, la version, la langue, le territoire, les canaux et la durée. Les allégations sont justifiées et les droits de tiers respectés. Une campagne devenue inexacte ou non conforme est retirée rapidement.</w:t>
      </w:r>
    </w:p>
    <w:p>
      <w:pPr>
        <w:pStyle w:val="Intertitre"/>
      </w:pPr>
      <w:r>
        <w:t xml:space="preserve">Usage en ligne</w:t>
      </w:r>
    </w:p>
    <w:p>
      <w:pPr>
        <w:pStyle w:val="Corps"/>
      </w:pPr>
      <w:r>
        <w:t xml:space="preserve">Les usages numériques suivent [Usage en ligne]. Le Licencié identifie ses comptes, sécurise les accès et ne réserve aucun identifiant dépassant les besoins de la licence. La politique couvre sites, places de marché, réseaux sociaux, mots-clés, métadonnées et identifiants. Les comptes sont sécurisés et attribués à des personnes habilitées. Les pratiques trompeuses, la confusion de titulaire et les usages hors territoire sont interdits.</w:t>
      </w:r>
    </w:p>
    <w:p>
      <w:pPr>
        <w:pStyle w:val="Intertitre"/>
      </w:pPr>
      <w:r>
        <w:t xml:space="preserve">Clause optionnelle : Noms de domaine</w:t>
      </w:r>
    </w:p>
    <w:p>
      <w:pPr>
        <w:pStyle w:val="Corps"/>
      </w:pPr>
      <w:r>
        <w:t xml:space="preserve">Les noms de domaine contenant la marque suivent [Noms de domaine] et restent transférables ou cessibles au terme selon les droits convenus. La liste précise le titulaire, le bureau, l'expiration, les extensions et services associés. Les enregistrements nouveaux requièrent l'accord prévu. À la cessation, les transferts ou suppressions sont effectués par un canal sécurisé et prouvés.</w:t>
      </w:r>
    </w:p>
    <w:p>
      <w:pPr>
        <w:pStyle w:val="Intertitre"/>
      </w:pPr>
      <w:r>
        <w:t xml:space="preserve">Clause optionnelle : Dénomination, enseigne et nom commercial</w:t>
      </w:r>
    </w:p>
    <w:p>
      <w:pPr>
        <w:pStyle w:val="Corps"/>
      </w:pPr>
      <w:r>
        <w:t xml:space="preserve">L'usage dans une dénomination, enseigne ou nom commercial suit [Dénomination et enseigne] et ne crée aucune apparence de titularité. L'autorisation est limitée à la durée, au territoire et à la forme approuvée. Elle ne confère aucun droit de propriété ni priorité indépendante. Les démarches de retrait ou modification sont anticipées avant la cessation de la licence.</w:t>
      </w:r>
    </w:p>
    <w:p>
      <w:pPr>
        <w:pStyle w:val="Intertitre"/>
      </w:pPr>
      <w:r>
        <w:t xml:space="preserve">Conditionnements et étiquetage</w:t>
      </w:r>
    </w:p>
    <w:p>
      <w:pPr>
        <w:pStyle w:val="Corps"/>
      </w:pPr>
      <w:r>
        <w:t xml:space="preserve">Les conditionnements portant la marque respectent [Conditionnements et étiquetage] et demeurent traçables par produit, lot, territoire et version. Les maquettes, mentions, codes, fournisseurs et dates d'approbation sont conservés. Les versions obsolètes sont isolées et détruites ou écoulées selon la procédure autorisée. Toute erreur affectant un lot est signalée et traitée sans délai.</w:t>
      </w:r>
    </w:p>
    <w:p>
      <w:pPr>
        <w:pStyle w:val="Intertitre"/>
      </w:pPr>
      <w:r>
        <w:t xml:space="preserve">Sous-licences — choisir une seule variante</w:t>
      </w:r>
    </w:p>
    <w:p>
      <w:pPr>
        <w:pStyle w:val="Variante"/>
      </w:pPr>
      <w:r>
        <w:t xml:space="preserve">Variante : Interdiction des sous-licences</w:t>
      </w:r>
    </w:p>
    <w:p>
      <w:pPr>
        <w:pStyle w:val="Corps"/>
      </w:pPr>
      <w:r>
        <w:t xml:space="preserve">Le Licencié ne concède aucun droit de marque à un tiers. Les prestataires techniques n'utilisent la marque que pour fabriquer ou exécuter pour son compte sous contrôle écrit. Les contrats de fabrication et de service précisent que l'usage est strictement technique, révocable et sans droit propre. Le Licencié contrôle les accès, fichiers et stocks remis, puis obtient leur restitution ou destruction à la fin de l'intervention.</w:t>
      </w:r>
    </w:p>
    <w:p>
      <w:pPr>
        <w:pStyle w:val="Variante"/>
      </w:pPr>
      <w:r>
        <w:t xml:space="preserve">Variante : Sous-licences autorisées</w:t>
      </w:r>
    </w:p>
    <w:p>
      <w:pPr>
        <w:pStyle w:val="Corps"/>
      </w:pPr>
      <w:r>
        <w:t xml:space="preserve">Toute sous-licence suit [Sous-licences], reste dans les limites de la licence principale et cesse au plus tard avec elle. Le Licencié demeure responsable du contrôle des sous-licenciés. Le processus identifie le sous-licencié, son territoire, ses produits, sa durée et ses obligations de qualité, reporting, confidentialité et sortie. Aucune sous-licence n'excède les droits principaux. Les actes et contrôles restent accessibles au Concédant.</w:t>
      </w:r>
    </w:p>
    <w:p>
      <w:pPr>
        <w:pStyle w:val="Intertitre"/>
      </w:pPr>
      <w:r>
        <w:t xml:space="preserve">Clause optionnelle : Fabricants pour compte</w:t>
      </w:r>
    </w:p>
    <w:p>
      <w:pPr>
        <w:pStyle w:val="Corps"/>
      </w:pPr>
      <w:r>
        <w:t xml:space="preserve">Le recours à un fabricant suit [Fabricants pour compte]. Il ne reçoit aucun droit autonome et cesse tout usage, conservation de matrices ou production à la demande du Licencié. Le contrat de fabrication encadre qualité, confidentialité, audits, stocks, matrices, sous-traitance et fin de mission. Le fabricant ne commercialise aucun produit pour son compte et ne conserve aucun signe ou fichier au-delà des obligations légales justifiées.</w:t>
      </w:r>
    </w:p>
    <w:p>
      <w:pPr>
        <w:pStyle w:val="Intertitre"/>
      </w:pPr>
      <w:r>
        <w:t xml:space="preserve">Redevance — choisir une seule variante</w:t>
      </w:r>
    </w:p>
    <w:p>
      <w:pPr>
        <w:pStyle w:val="Variante"/>
      </w:pPr>
      <w:r>
        <w:t xml:space="preserve">Variante : Redevance proportionnelle</w:t>
      </w:r>
    </w:p>
    <w:p>
      <w:pPr>
        <w:pStyle w:val="Corps"/>
      </w:pPr>
      <w:r>
        <w:t xml:space="preserve">Le Licencié verse [Taux de redevance] appliqué à [Assiette de redevance] selon les déclarations et échéances convenues. Le calcul est reproduit selon [Méthode de calcul des redevances]. Le taux, l'assiette, la devise, les taxes exclues, retours, remises, ventes liées et conversions sont définis de manière reproductible. Chaque déclaration permet de rapprocher les montants des ventes ou unités concernées, sans déduction non prévue.</w:t>
      </w:r>
    </w:p>
    <w:p>
      <w:pPr>
        <w:pStyle w:val="Variante"/>
      </w:pPr>
      <w:r>
        <w:t xml:space="preserve">Variante : Redevance fixe</w:t>
      </w:r>
    </w:p>
    <w:p>
      <w:pPr>
        <w:pStyle w:val="Corps"/>
      </w:pPr>
      <w:r>
        <w:t xml:space="preserve">Le Licencié verse [Redevance fixe] selon la périodicité convenue pour les droits concédés. Le calcul est reproduit selon [Méthode de calcul des redevances]. Le montant, la période, le prorata, l'indexation éventuelle et le traitement d'une suspension ou cessation sont précisés. Le paiement fixe ne dispense pas des obligations de reporting nécessaires au contrôle des usages et de la qualité.</w:t>
      </w:r>
    </w:p>
    <w:p>
      <w:pPr>
        <w:pStyle w:val="Variante"/>
      </w:pPr>
      <w:r>
        <w:t xml:space="preserve">Variante : Licence sans redevance</w:t>
      </w:r>
    </w:p>
    <w:p>
      <w:pPr>
        <w:pStyle w:val="Corps"/>
      </w:pPr>
      <w:r>
        <w:t xml:space="preserve">Aucune redevance n'est due pour la licence. Chaque autre flux financier ou prestation reste identifié séparément et cette gratuité n'étend pas le périmètre des droits. L'absence de redevance est volontaire et ne constitue ni une renonciation à contrôler les usages ni un transfert de propriété. Les frais, remboursements ou prestations croisées sont décrits séparément afin d'éviter toute contrepartie dissimulée.</w:t>
      </w:r>
    </w:p>
    <w:p>
      <w:pPr>
        <w:pStyle w:val="Intertitre"/>
      </w:pPr>
      <w:r>
        <w:t xml:space="preserve">Clause optionnelle : Assiette et déclarations</w:t>
      </w:r>
    </w:p>
    <w:p>
      <w:pPr>
        <w:pStyle w:val="Corps"/>
      </w:pPr>
      <w:r>
        <w:t xml:space="preserve">L'assiette est [Assiette de redevance] et les déclarations suivent [Déclarations de redevances] avec les unités, recettes, taxes, remises, avoirs, retours et devises pertinents. Les déclarations sont justifiées par [Justificatifs des redevances]. La définition traite les ventes intragroupe, remises, retours, produits composites, licences liées, devises et périodes de rattachement. Toute correction est justifiée et conserve la trace de la déclaration initiale. Aucun coût interne non prévu n'est déduit.</w:t>
      </w:r>
    </w:p>
    <w:p>
      <w:pPr>
        <w:pStyle w:val="Intertitre"/>
      </w:pPr>
      <w:r>
        <w:t xml:space="preserve">Clause optionnelle : Paiement</w:t>
      </w:r>
    </w:p>
    <w:p>
      <w:pPr>
        <w:pStyle w:val="Corps"/>
      </w:pPr>
      <w:r>
        <w:t xml:space="preserve">Les redevances sont réglées selon [Paiement des redevances] avec les factures, conversions et justificatifs fiscaux nécessaires. Le calendrier précise facturation, exigibilité, devise, compte, intérêts ou conséquences licites du retard et paiement des sommes non contestées. Les retenues et conversions sont justifiées. Une contestation est motivée sans suspendre le reste du règlement.</w:t>
      </w:r>
    </w:p>
    <w:p>
      <w:pPr>
        <w:pStyle w:val="Intertitre"/>
      </w:pPr>
      <w:r>
        <w:t xml:space="preserve">Clause optionnelle : Redevance minimale</w:t>
      </w:r>
    </w:p>
    <w:p>
      <w:pPr>
        <w:pStyle w:val="Corps"/>
      </w:pPr>
      <w:r>
        <w:t xml:space="preserve">Le Licencié s'engage selon [Redevance minimale]. Le minimum, ses proratas, rattrapages et conséquences sont appliqués sans extension automatique de l'exclusivité. Le minimum indique sa période, son prorata, les avances imputables et les événements de révision. Son défaut peut affecter l'exclusivité ou la poursuite seulement dans les conditions prévues. Il ne crée pas un droit d'usage au-delà du terme.</w:t>
      </w:r>
    </w:p>
    <w:p>
      <w:pPr>
        <w:pStyle w:val="Intertitre"/>
      </w:pPr>
      <w:r>
        <w:t xml:space="preserve">Clause optionnelle : Audit des redevances</w:t>
      </w:r>
    </w:p>
    <w:p>
      <w:pPr>
        <w:pStyle w:val="Corps"/>
      </w:pPr>
      <w:r>
        <w:t xml:space="preserve">Le Concédant peut contrôler les déclarations selon [Audit des redevances] dans un périmètre nécessaire, confidentiel et contradictoire. L'audit identifie le vérificateur, le préavis, les périodes, les pièces, la fréquence, les coûts et le seuil de correction. Il protège les secrets et évite une perturbation abusive. Les écarts sont discutés contradictoirement et régularisés selon le contrat.</w:t>
      </w:r>
    </w:p>
    <w:p>
      <w:pPr>
        <w:pStyle w:val="Intertitre"/>
      </w:pPr>
      <w:r>
        <w:t xml:space="preserve">Taxes et retenues</w:t>
      </w:r>
    </w:p>
    <w:p>
      <w:pPr>
        <w:pStyle w:val="Corps"/>
      </w:pPr>
      <w:r>
        <w:t xml:space="preserve">Les taxes et retenues suivent [Taxes et retenues]. Le payeur remet les justificatifs et coopère aux formalités licites sans garantir un avantage fiscal. Chaque partie reste responsable de ses déclarations selon sa situation et les territoires concernés. Une retenue n'est pratiquée que sur fondement vérifié. Les certificats et justificatifs sont remis, sans présumer d'une convention fiscale ou d'un taux non établi.</w:t>
      </w:r>
    </w:p>
    <w:p>
      <w:pPr>
        <w:pStyle w:val="Intertitre"/>
      </w:pPr>
      <w:r>
        <w:t xml:space="preserve">Inscription de la licence</w:t>
      </w:r>
    </w:p>
    <w:p>
      <w:pPr>
        <w:pStyle w:val="Corps"/>
      </w:pPr>
      <w:r>
        <w:t xml:space="preserve">Les parties exécutent [Inscription de la licence] afin d'inscrire, modifier ou radier la licence lorsque nécessaire à son opposabilité ou à la stratégie de protection. La procédure identifie la partie déposante, les formulaires, les territoires, les taxes et le traitement des observations. Les récépissés et décisions sont communiqués. Une modification affectant l'acte inscrit est actualisée sans retard injustifié.</w:t>
      </w:r>
    </w:p>
    <w:p>
      <w:pPr>
        <w:pStyle w:val="Intertitre"/>
      </w:pPr>
      <w:r>
        <w:t xml:space="preserve">Maintien des droits</w:t>
      </w:r>
    </w:p>
    <w:p>
      <w:pPr>
        <w:pStyle w:val="Corps"/>
      </w:pPr>
      <w:r>
        <w:t xml:space="preserve">Le Concédant suit [Maintien des marques] et informe avant tout abandon, non-renouvellement, limitation ou événement matériel affectant la licence. Le Concédant surveille les échéances et conserve les pièces utiles à la protection. Une décision d'abandon ou de limitation est annoncée suffisamment tôt pour examiner les conséquences. Le Licencié ne paie une formalité qu'après accord documenté.</w:t>
      </w:r>
    </w:p>
    <w:p>
      <w:pPr>
        <w:pStyle w:val="Intertitre"/>
      </w:pPr>
      <w:r>
        <w:t xml:space="preserve">Preuves d'usage</w:t>
      </w:r>
    </w:p>
    <w:p>
      <w:pPr>
        <w:pStyle w:val="Corps"/>
      </w:pPr>
      <w:r>
        <w:t xml:space="preserve">Le Licencié coopère selon [Preuves d'usage] et transmet des preuves datées, territorialisées et liées aux produits ou services concernés. Les éléments indiquent la date, le lieu, le signe, les produits ou services, les volumes et le canal. Leur transmission respecte les données et secrets concernés. Le Concédant les utilise uniquement pour le maintien ou la défense des droits.</w:t>
      </w:r>
    </w:p>
    <w:p>
      <w:pPr>
        <w:pStyle w:val="Intertitre"/>
      </w:pPr>
      <w:r>
        <w:t xml:space="preserve">Signalement des atteintes</w:t>
      </w:r>
    </w:p>
    <w:p>
      <w:pPr>
        <w:pStyle w:val="Corps"/>
      </w:pPr>
      <w:r>
        <w:t xml:space="preserve">Le Licencié suit [Signalement des atteintes] et ne contacte pas le contrevenant, une plateforme ou une autorité hors des mesures urgentes ou pouvoirs convenus. La notification identifie le signe, l'auteur, les produits, le territoire, les canaux, les preuves et l'urgence. Les éléments sont préservés sans altération. Aucune menace ou reconnaissance n'est adressée sans l'autorité prévue par la branche d'action.</w:t>
      </w:r>
    </w:p>
    <w:p>
      <w:pPr>
        <w:pStyle w:val="Intertitre"/>
      </w:pPr>
      <w:r>
        <w:t xml:space="preserve">Actions — choisir une seule variante</w:t>
      </w:r>
    </w:p>
    <w:p>
      <w:pPr>
        <w:pStyle w:val="Variante"/>
      </w:pPr>
      <w:r>
        <w:t xml:space="preserve">Variante : Action dirigée par le Concédant</w:t>
      </w:r>
    </w:p>
    <w:p>
      <w:pPr>
        <w:pStyle w:val="Corps"/>
      </w:pPr>
      <w:r>
        <w:t xml:space="preserve">Le Concédant dirige les actions selon [Direction des actions]. Le Licencié coopère et peut faire valoir son préjudice propre dans les conditions applicables. Le Concédant informe le Licencié des décisions affectant son activité et recueille sa coopération raisonnable. Il ne conclut aucune transaction imposant au Licencié une obligation ou renonciation sans accord. Les délais et preuves sont suivis.</w:t>
      </w:r>
    </w:p>
    <w:p>
      <w:pPr>
        <w:pStyle w:val="Variante"/>
      </w:pPr>
      <w:r>
        <w:t xml:space="preserve">Variante : Action concertée</w:t>
      </w:r>
    </w:p>
    <w:p>
      <w:pPr>
        <w:pStyle w:val="Corps"/>
      </w:pPr>
      <w:r>
        <w:t xml:space="preserve">Les parties coordonnent les actions selon [Direction des actions], désignent le conseil, valident la stratégie et répartissent informations, coûts et décisions. Le dispositif désigne un responsable opérationnel et une procédure de décision en cas de désaccord ou d'urgence. Les informations, preuves, coûts, communications et propositions de transaction sont partagés selon les intérêts propres de chaque partie.</w:t>
      </w:r>
    </w:p>
    <w:p>
      <w:pPr>
        <w:pStyle w:val="Variante"/>
      </w:pPr>
      <w:r>
        <w:t xml:space="preserve">Variante : Action du Licencié autorisée</w:t>
      </w:r>
    </w:p>
    <w:p>
      <w:pPr>
        <w:pStyle w:val="Corps"/>
      </w:pPr>
      <w:r>
        <w:t xml:space="preserve">Le Licencié peut agir uniquement dans [Direction des actions], après information du Concédant et sans compromettre la validité, la portée ou la stratégie générale des marques. L'autorisation précise les territoires, recours, conseils, budgets et informations au Concédant. Le Licencié ne conteste pas la validité du titre ni n'accepte une limitation sans accord. Il rend compte de chaque étape et préserve les délais.</w:t>
      </w:r>
    </w:p>
    <w:p>
      <w:pPr>
        <w:pStyle w:val="Intertitre"/>
      </w:pPr>
      <w:r>
        <w:t xml:space="preserve">Réclamations de tiers</w:t>
      </w:r>
    </w:p>
    <w:p>
      <w:pPr>
        <w:pStyle w:val="Corps"/>
      </w:pPr>
      <w:r>
        <w:t xml:space="preserve">Toute réclamation visant l'usage suit [Défense contre les réclamations]. Les parties préservent les preuves, coordonnent la défense et ne reconnaissent aucune responsabilité hors de leurs pouvoirs. La notification identifie les griefs, titres, faits, échéances et mesures urgentes. La direction et les frais sont répartis selon l'origine du risque et les garanties. Une transaction affectant l'autre partie exige son consentement préalable.</w:t>
      </w:r>
    </w:p>
    <w:p>
      <w:pPr>
        <w:pStyle w:val="Intertitre"/>
      </w:pPr>
      <w:r>
        <w:t xml:space="preserve">Coûts et réparations</w:t>
      </w:r>
    </w:p>
    <w:p>
      <w:pPr>
        <w:pStyle w:val="Corps"/>
      </w:pPr>
      <w:r>
        <w:t xml:space="preserve">Les frais, indemnités et produits d'une action suivent [Coûts et réparations] en tenant compte de la direction de l'action, des préjudices propres et des manquements respectifs. La règle distingue frais de conseil, condamnations, transactions, dommages propres et recouvrements. Les montants sont attribués après encaissement et justification des coûts autorisés. Un manquement propre reste à la charge de la partie responsable.</w:t>
      </w:r>
    </w:p>
    <w:p>
      <w:pPr>
        <w:pStyle w:val="Intertitre"/>
      </w:pPr>
      <w:r>
        <w:t xml:space="preserve">Garanties du Concédant</w:t>
      </w:r>
    </w:p>
    <w:p>
      <w:pPr>
        <w:pStyle w:val="Corps"/>
      </w:pPr>
      <w:r>
        <w:t xml:space="preserve">Le Concédant fournit [Garanties du concédant] sans garantir l'absence absolue de droits de tiers, la validité future dans tous les pays ou le succès commercial du Licencié. Les garanties portent uniquement sur les éléments vérifiés, notamment titularité, pouvoir de concéder et inscriptions divulguées. Les exclusions, durée, seuils, plafonds, procédure de réclamation et remèdes sont interprétés strictement et ne neutralisent pas une obligation essentielle.</w:t>
      </w:r>
    </w:p>
    <w:p>
      <w:pPr>
        <w:pStyle w:val="Intertitre"/>
      </w:pPr>
      <w:r>
        <w:t xml:space="preserve">Garanties du Licencié</w:t>
      </w:r>
    </w:p>
    <w:p>
      <w:pPr>
        <w:pStyle w:val="Corps"/>
      </w:pPr>
      <w:r>
        <w:t xml:space="preserve">Le Licencié fournit [Garanties du licencié], respecte la réglementation de ses produits et ne conteste, dépose ou utilise aucun signe en dehors du périmètre concédé. Il garantit ses autorisations, la conformité de son activité, le respect du périmètre, la qualité et la loyauté de ses communications. Il répond de ses fabricants, distributeurs et sous-licenciés selon le contrat et signale tout fait compromettant la marque.</w:t>
      </w:r>
    </w:p>
    <w:p>
      <w:pPr>
        <w:pStyle w:val="Intertitre"/>
      </w:pPr>
      <w:r>
        <w:t xml:space="preserve">Confidentialité</w:t>
      </w:r>
    </w:p>
    <w:p>
      <w:pPr>
        <w:pStyle w:val="Corps"/>
      </w:pPr>
      <w:r>
        <w:t xml:space="preserve">Chaque partie protège les informations définies dans [Confidentialité], limite leur usage à la licence et applique les exceptions et durées convenues. L'accès est limité aux personnes ayant besoin d'en connaître et assorti de mesures adaptées. Les informations publiques, déjà connues licitement ou reçues d'un tiers autorisé sont exclues. Une divulgation obligatoire est limitée et, si possible, annoncée.</w:t>
      </w:r>
    </w:p>
    <w:p>
      <w:pPr>
        <w:pStyle w:val="Intertitre"/>
      </w:pPr>
      <w:r>
        <w:t xml:space="preserve">Rôle relatif aux données — choisir une seule variante</w:t>
      </w:r>
    </w:p>
    <w:p>
      <w:pPr>
        <w:pStyle w:val="Variante"/>
      </w:pPr>
      <w:r>
        <w:t xml:space="preserve">Variante : Absence de données personnelles confiées</w:t>
      </w:r>
    </w:p>
    <w:p>
      <w:pPr>
        <w:pStyle w:val="Corps"/>
      </w:pPr>
      <w:r>
        <w:t xml:space="preserve">Aucun traitement de données personnelles n'est confié par une Partie à l'autre. Toute évolution impose une qualification préalable des rôles et la documentation requise. Les coordonnées nécessaires à l'administration du contrat restent traitées par chaque partie sous sa responsabilité. Aucun fichier client ou utilisateur n'est confié pour compte dans cette branche. Tout nouveau flux exige une qualification préalable.</w:t>
      </w:r>
    </w:p>
    <w:p>
      <w:pPr>
        <w:pStyle w:val="Variante"/>
      </w:pPr>
      <w:r>
        <w:t xml:space="preserve">Variante : Responsables de traitement autonomes</w:t>
      </w:r>
    </w:p>
    <w:p>
      <w:pPr>
        <w:pStyle w:val="Corps"/>
      </w:pPr>
      <w:r>
        <w:t xml:space="preserve">Pour leurs traitements autonomes, les Parties appliquent [Répartition des rôles autonomes]. Chacune assume ses finalités, moyens, informations, droits et mesures de sécurité. La répartition traite l'information, les droits, la conservation, les destinataires, la sécurité et les incidents. Chaque partie agit pour ses finalités propres. Une évolution créant des instructions pour compte impose une nouvelle qualification avant traitement.</w:t>
      </w:r>
    </w:p>
    <w:p>
      <w:pPr>
        <w:pStyle w:val="Variante"/>
      </w:pPr>
      <w:r>
        <w:t xml:space="preserve">Variante : Traitement pour compte et DPA</w:t>
      </w:r>
    </w:p>
    <w:p>
      <w:pPr>
        <w:pStyle w:val="Corps"/>
      </w:pPr>
      <w:r>
        <w:t xml:space="preserve">Pour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Le DPA signé est référencé [Référence du DPA]. Le DPA encadre confidentialité, sécurité, sous-traitants ultérieurs, assistance, incidents, audits et sort des données. Les instructions sont documentées et toute demande illicite signalée. Le contrat principal ne remplace pas cet accord signé avant traitement.</w:t>
      </w:r>
    </w:p>
    <w:p>
      <w:pPr>
        <w:pStyle w:val="Intertitre"/>
      </w:pPr>
      <w:r>
        <w:t xml:space="preserve">Conformité</w:t>
      </w:r>
    </w:p>
    <w:p>
      <w:pPr>
        <w:pStyle w:val="Corps"/>
      </w:pPr>
      <w:r>
        <w:t xml:space="preserve">Chaque partie applique [Conformité]. Le Licencié demeure responsable des produits, services, publicités et autorisations qu'il exploite sous la marque. Le programme couvre les règles applicables aux produits, consommateurs, publicité, concurrence, sanctions et anticorruption. Les contrôles et autorisations sont documentés. Une instruction illicite est refusée et aucune marque ne masque l'identité du responsable de l'offre.</w:t>
      </w:r>
    </w:p>
    <w:p>
      <w:pPr>
        <w:pStyle w:val="Intertitre"/>
      </w:pPr>
      <w:r>
        <w:t xml:space="preserve">Clause optionnelle : Assurances</w:t>
      </w:r>
    </w:p>
    <w:p>
      <w:pPr>
        <w:pStyle w:val="Corps"/>
      </w:pPr>
      <w:r>
        <w:t xml:space="preserve">Le Licencié maintient [Assurances] pour les produits, services et usages de marque et remet les attestations demandées. Les garanties correspondent aux produits, territoires, rappels, responsabilités et usages concernés. Le Licencié informe d'une suspension ou réduction substantielle. La remise d'une attestation ne valide pas la couverture et ne limite pas ses obligations.</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Sous réserve de [Exclusions du plafond], le plafond négocié est [Plafond de responsabilité] sans couvrir une faute lourde ou dolosive ni réduire une obligation impérative. Le plafond et son assiette sont interprétés selon le risque négocié. Les exclusions ne neutralisent ni qualité, confidentialité, droits de marque ni règle impérative. Chaque partie limite son dommage et conserve les preuves du manquement et du lien causal.</w:t>
      </w:r>
    </w:p>
    <w:p>
      <w:pPr>
        <w:pStyle w:val="Variante"/>
      </w:pPr>
      <w:r>
        <w:t xml:space="preserve">Variante : Responsabilité sans plafond contractuel</w:t>
      </w:r>
    </w:p>
    <w:p>
      <w:pPr>
        <w:pStyle w:val="Corps"/>
      </w:pPr>
      <w:r>
        <w:t xml:space="preserve">Chaque Partie répond des dommages directs causés par ses manquements prouvés, sans plafond contractuel, sous réserve de [Exclusions et droits impératifs] et des règles impératives applicables. L'absence de plafond général ne crée aucune responsabilité automatique ni garantie de succès. Chaque demande suppose la preuve de ses conditions. La partie affectée limite raisonnablement l'aggravation du dommage et informe l'autre dans un délai utile.</w:t>
      </w:r>
    </w:p>
    <w:p>
      <w:pPr>
        <w:pStyle w:val="Intertitre"/>
      </w:pPr>
      <w:r>
        <w:t xml:space="preserve">Force majeure</w:t>
      </w:r>
    </w:p>
    <w:p>
      <w:pPr>
        <w:pStyle w:val="Corps"/>
      </w:pPr>
      <w:r>
        <w:t xml:space="preserve">La partie empêchée suit [Force majeure], notifie, atténue les effets et reprend l'exécution possible. Les redevances sont traitées selon les usages effectivement empêchés. La notification identifie l'événement, les obligations empêchées, sa durée et les mesures d'atténuation. Seuls les usages réellement impossibles sont suspendus. Les obligations de sécurité, confidentialité et protection de la marque se poursuivent lorsqu'elles restent exécutables.</w:t>
      </w:r>
    </w:p>
    <w:p>
      <w:pPr>
        <w:pStyle w:val="Intertitre"/>
      </w:pPr>
      <w:r>
        <w:t xml:space="preserve">Durée — choisir une seule variante</w:t>
      </w:r>
    </w:p>
    <w:p>
      <w:pPr>
        <w:pStyle w:val="Variante"/>
      </w:pPr>
      <w:r>
        <w:t xml:space="preserve">Variante : Durée déterminée</w:t>
      </w:r>
    </w:p>
    <w:p>
      <w:pPr>
        <w:pStyle w:val="Corps"/>
      </w:pPr>
      <w:r>
        <w:t xml:space="preserve">La licence prend effet le [Date de prise d'effet] pour [Durée déterminée] sans dépasser les droits disponibles. Son renouvellement suit [Renouvellement]. Le terme est articulé avec les inscriptions, stocks, sous-licences, fabricants et campagnes en cours. Les clauses de paiement, confidentialité, responsabilité et défense survivent selon leur objet. Une prolongation ne résulte que du mécanisme retenu.</w:t>
      </w:r>
    </w:p>
    <w:p>
      <w:pPr>
        <w:pStyle w:val="Variante"/>
      </w:pPr>
      <w:r>
        <w:t xml:space="preserve">Variante : Durée indéterminée</w:t>
      </w:r>
    </w:p>
    <w:p>
      <w:pPr>
        <w:pStyle w:val="Corps"/>
      </w:pPr>
      <w:r>
        <w:t xml:space="preserve">La licence prend effet le [Date de prise d'effet] sans terme et peut cesser moyennant [Préavis], sous réserve des droits et investissements concernés. La notification est écrite, prouvée et tient compte des investissements, stocks et dépendances licites sans créer une perpétuité. Pendant le préavis, le périmètre et les contrôles restent inchangés et les opérations de sortie sont préparées.</w:t>
      </w:r>
    </w:p>
    <w:p>
      <w:pPr>
        <w:pStyle w:val="Intertitre"/>
      </w:pPr>
      <w:r>
        <w:t xml:space="preserve">Résiliation pour manquement</w:t>
      </w:r>
    </w:p>
    <w:p>
      <w:pPr>
        <w:pStyle w:val="Corps"/>
      </w:pPr>
      <w:r>
        <w:t xml:space="preserve">Toute inexécution est traitée selon [Manquement]. Un usage hors durée, forme, produits, territoire ou qualité peut justifier les mesures attachées aux droits de marque selon sa gravité. La notification décrit les faits, les limites méconnues et, lorsqu'une correction est possible, le délai accordé. Les mesures sont proportionnées à l'atteinte. La cessation n'efface ni redevances, rappels, garanties, données, défense et obligations survivantes.</w:t>
      </w:r>
    </w:p>
    <w:p>
      <w:pPr>
        <w:pStyle w:val="Intertitre"/>
      </w:pPr>
      <w:r>
        <w:t xml:space="preserve">Changement de contrôle</w:t>
      </w:r>
    </w:p>
    <w:p>
      <w:pPr>
        <w:pStyle w:val="Corps"/>
      </w:pPr>
      <w:r>
        <w:t xml:space="preserve">Chaque partie informe l'autre selon [Changement de contrôle]. Les conséquences restent proportionnées à la confiance, aux droits et aux risques de concurrence. La procédure identifie les informations, délais et personnes habilitées. Elle ne crée pas une résiliation arbitraire mais permet d'examiner les conflits, la réputation, la concurrence et la capacité d'exécution. Toute conséquence est notifiée et motivée.</w:t>
      </w:r>
    </w:p>
    <w:p>
      <w:pPr>
        <w:pStyle w:val="Intertitre"/>
      </w:pPr>
      <w:r>
        <w:t xml:space="preserve">Cession</w:t>
      </w:r>
    </w:p>
    <w:p>
      <w:pPr>
        <w:pStyle w:val="Corps"/>
      </w:pPr>
      <w:r>
        <w:t xml:space="preserve">Toute cession du contrat suit [Cession du contrat] et n'emporte aucun transfert de propriété de la marque. Les formalités et sous-licences sont traitées expressément. Le projet identifie le cessionnaire, le périmètre, la date et les sous-licences concernées. Les accords et inscriptions requis sont obtenus. Une cession non autorisée ne confère aucun droit de marque au bénéficiaire et n'efface pas les obligations antérieures.</w:t>
      </w:r>
    </w:p>
    <w:p>
      <w:pPr>
        <w:pStyle w:val="Intertitre"/>
      </w:pPr>
      <w:r>
        <w:t xml:space="preserve">Clause optionnelle : Écoulement des stocks</w:t>
      </w:r>
    </w:p>
    <w:p>
      <w:pPr>
        <w:pStyle w:val="Corps"/>
      </w:pPr>
      <w:r>
        <w:t xml:space="preserve">Le Licencié peut poursuivre un usage uniquement selon [Écoulement des stocks] pour les produits conformes et existants, avec redevances, qualité et contrôle maintenus. Le stock autorisé est inventorié par produit, lot, quantité, territoire et date. Aucun nouveau produit n'est fabriqué. La qualité, les redevances, les contrôles et les rappels restent applicables, puis tout reliquat est traité selon la procédure de sortie.</w:t>
      </w:r>
    </w:p>
    <w:p>
      <w:pPr>
        <w:pStyle w:val="Intertitre"/>
      </w:pPr>
      <w:r>
        <w:t xml:space="preserve">Cessation de l'usage</w:t>
      </w:r>
    </w:p>
    <w:p>
      <w:pPr>
        <w:pStyle w:val="Corps"/>
      </w:pPr>
      <w:r>
        <w:t xml:space="preserve">À la fin des droits, le Licencié exécute [Cessation de l'usage] et cesse toute fabrication, offre, publicité, référencement ou présentation sous la marque. Le plan couvre enseignes, domaines, comptes, emballages, référencement, publicité, documentation et communications aux partenaires. Les délais sont vérifiables et compatibles avec l'écoulement autorisé. Toute impression de lien persistant est supprimée.</w:t>
      </w:r>
    </w:p>
    <w:p>
      <w:pPr>
        <w:pStyle w:val="Intertitre"/>
      </w:pPr>
      <w:r>
        <w:t xml:space="preserve">Restitution et destruction</w:t>
      </w:r>
    </w:p>
    <w:p>
      <w:pPr>
        <w:pStyle w:val="Corps"/>
      </w:pPr>
      <w:r>
        <w:t xml:space="preserve">Le Licencié applique [Restitution et destruction] pour les fichiers, matrices, étiquettes, chartes, supports et matériels marqués et remet une preuve sur demande. Un inventaire contradictoire identifie les fichiers, supports et matériels restitués, détruits ou conservés pour obligation légale. Les fabricants et sous-licenciés exécutent la même obligation. Les preuves sont remises sans divulguer des données étrangères au contrat.</w:t>
      </w:r>
    </w:p>
    <w:p>
      <w:pPr>
        <w:pStyle w:val="Intertitre"/>
      </w:pPr>
      <w:r>
        <w:t xml:space="preserve">Radiation des inscriptions</w:t>
      </w:r>
    </w:p>
    <w:p>
      <w:pPr>
        <w:pStyle w:val="Corps"/>
      </w:pPr>
      <w:r>
        <w:t xml:space="preserve">Les parties appliquent [Inscription de la licence] pour radier ou actualiser les inscriptions devenues inexactes à la cessation. La partie responsable dépose les formulaires, règle les coûts convenus et répond aux observations. Les récépissés et décisions sont communiqués. La radiation n'affecte pas les droits et obligations nés avant la cessation.</w:t>
      </w:r>
    </w:p>
    <w:p>
      <w:pPr>
        <w:pStyle w:val="Intertitre"/>
      </w:pPr>
      <w:r>
        <w:t xml:space="preserve">Notifications</w:t>
      </w:r>
    </w:p>
    <w:p>
      <w:pPr>
        <w:pStyle w:val="Corps"/>
      </w:pPr>
      <w:r>
        <w:t xml:space="preserve">Les notifications sont adressées à [Notifications] par un moyen établissant leur contenu, leur date et leur réception. Chaque partie actualise ses coordonnées. Une notification mentionne son objet, le contrat et, lorsqu'elle fait courir un délai, les faits et la date d'effet invoqués. Une communication opérationnelle ne remplace pas la forme exigée pour une résiliation ou une réclamation. Les preuves sont conservées.</w:t>
      </w:r>
    </w:p>
    <w:p>
      <w:pPr>
        <w:pStyle w:val="Intertitre"/>
      </w:pPr>
      <w:r>
        <w:t xml:space="preserve">Documents contractuels</w:t>
      </w:r>
    </w:p>
    <w:p>
      <w:pPr>
        <w:pStyle w:val="Corps"/>
      </w:pPr>
      <w:r>
        <w:t xml:space="preserve">Le contrat, ses annexes, la charte et les validations organisent la licence. Une charte ne modifie pas seule le territoire, les produits, l'exclusivité, la durée ou les redevances. Les documents sont classés par ordre de priorité et leurs versions identifiées. Une validation de support ne modifie que l'élément soumis. Toute modification de droit, durée, territoire, exclusivité ou prix exige un accord habilité et les formalités utiles.</w:t>
      </w:r>
    </w:p>
    <w:p>
      <w:pPr>
        <w:pStyle w:val="Intertitre"/>
      </w:pPr>
      <w:r>
        <w:t xml:space="preserve">Bonne foi</w:t>
      </w:r>
    </w:p>
    <w:p>
      <w:pPr>
        <w:pStyle w:val="Corps"/>
      </w:pPr>
      <w:r>
        <w:t xml:space="preserve">Les parties exécutent loyalement la licence, protègent la marque et communiquent les informations déterminantes sur les droits, la qualité, les usages et les atteintes. Le Concédant maintient et défend les droits selon le contrat. Le Licencié exploite réellement et loyalement le périmètre autorisé, fournit les informations nécessaires et n'affaiblit pas la marque. Chacun coopère à la correction des incidents.</w:t>
      </w:r>
    </w:p>
    <w:p>
      <w:pPr>
        <w:pStyle w:val="Intertitre"/>
      </w:pPr>
      <w:r>
        <w:t xml:space="preserve">Divisibilité des stipulations</w:t>
      </w:r>
    </w:p>
    <w:p>
      <w:pPr>
        <w:pStyle w:val="Corps"/>
      </w:pPr>
      <w:r>
        <w:t xml:space="preserve">La nullité, l'inopposabilité ou l'inefficacité d'une stipulation n'affecte les autres stipulations que si l'économie du contrat ne peut être maintenue. Les Parties recherchent une stipulation licite d'effet comparable. La solution de remplacement respecte l'intention commune sans étendre le droit de marque ni une restriction de concurrence. Les parties documentent l'adaptation et ses effets sur les usages en cours. Aucune correction ne valide rétroactivement un usage illicite.</w:t>
      </w:r>
    </w:p>
    <w:p>
      <w:pPr>
        <w:pStyle w:val="Intertitre"/>
      </w:pPr>
      <w:r>
        <w:t xml:space="preserve">Droit applicable et juridictions</w:t>
      </w:r>
    </w:p>
    <w:p>
      <w:pPr>
        <w:pStyle w:val="Corps"/>
      </w:pPr>
      <w:r>
        <w:t xml:space="preserve">Le contrat est soumis à [Droit applicable]. Les litiges relèvent de [Juridictions compétentes] sous réserve des compétences liées aux offices, titres et atteintes dans chaque territoire. Avant toute saisine, les parties peuvent échanger sans laisser expirer un délai devant un office ou une juridiction. La clause de compétence n'écarte pas les compétences exclusives ni les règles territoriales propres aux titres et atteintes.</w:t>
      </w:r>
    </w:p>
    <w:p>
      <w:pPr>
        <w:pStyle w:val="Intertitre"/>
      </w:pPr>
      <w:r>
        <w:t xml:space="preserve">Annexes</w:t>
      </w:r>
    </w:p>
    <w:p>
      <w:pPr>
        <w:pStyle w:val="Corps"/>
      </w:pPr>
      <w:r>
        <w:t xml:space="preserve">Sont annexés les extraits de registre, la chaîne de titularité, les marques, produits et services, territoire, usages, charte, qualité, validations, fabricants, redevances, inscription, maintien, actions, assurances et plan de sortie. Chaque annexe est numérotée, datée, versionnée et signée ou paraphée. L'ordre de priorité et les contradictions sont traités. Un extrait, barème, charte ou liste non identifié n'est pas réputé accepté et chaque mise à jour reste traçable.</w:t>
      </w:r>
    </w:p>
    <w:p>
      <w:pPr>
        <w:pStyle w:val="Intertitre"/>
      </w:pPr>
      <w:r>
        <w:t xml:space="preserve">Signature du Concédant — choisir une seule variante</w:t>
      </w:r>
    </w:p>
    <w:p>
      <w:pPr>
        <w:pStyle w:val="Variante"/>
      </w:pPr>
      <w:r>
        <w:t xml:space="preserve">Variante : Signature du Concédant personne physique</w:t>
      </w:r>
    </w:p>
    <w:p>
      <w:pPr>
        <w:pStyle w:val="Corps"/>
      </w:pPr>
      <w:r>
        <w:t xml:space="preserve">Fait à [Lieu de signature], le [Date de signature], sous la référence [Référence du contrat]. Le Concédant, [Identité du Concédant personne physique], signe la licence et ses annexes opposables. Le Concédant signe en son nom propre, déclare sa titularité et reçoit le contrat avec ses annexes. Le procédé permet son identification, la datation, l'intégrité de la version et la conservation de la preuve.</w:t>
      </w:r>
    </w:p>
    <w:p>
      <w:pPr>
        <w:pStyle w:val="Variante"/>
      </w:pPr>
      <w:r>
        <w:t xml:space="preserve">Variante : Signature du Concédant personne morale</w:t>
      </w:r>
    </w:p>
    <w:p>
      <w:pPr>
        <w:pStyle w:val="Corps"/>
      </w:pPr>
      <w:r>
        <w:t xml:space="preserve">La licence est conclue à [Lieu de signature], le [Date de signature], sous la référence [Référence du contrat]. Pour le Concédant, [Représentant du Concédant] signe en sa qualité et avec les pouvoirs vérifiés. La signature identifie distinctement la personne morale concédante ainsi que le nom et la qualité de son représentant. Celui-ci déclare son pouvoir et reçoit les annexes. Le procédé garantit l'identification du signataire, la date, l'intégrité de la version et sa conservation.</w:t>
      </w:r>
    </w:p>
    <w:p>
      <w:pPr>
        <w:pStyle w:val="Intertitre"/>
      </w:pPr>
      <w:r>
        <w:t xml:space="preserve">Signature du Licencié — choisir une seule variante</w:t>
      </w:r>
    </w:p>
    <w:p>
      <w:pPr>
        <w:pStyle w:val="Variante"/>
      </w:pPr>
      <w:r>
        <w:t xml:space="preserve">Variante : Signature du Licencié personne physique</w:t>
      </w:r>
    </w:p>
    <w:p>
      <w:pPr>
        <w:pStyle w:val="Corps"/>
      </w:pPr>
      <w:r>
        <w:t xml:space="preserve">Le Licencié, [Identité du Licencié personne physique], signe la version définitive après contrôle du portefeuille, de la charte et des annexes opposables. Le Licencié signe en son nom propre après contrôle du périmètre, de la qualité, des redevances et de la sortie. Le procédé garantit son identification, la date, l'intégrité et la conservation de la preuve.</w:t>
      </w:r>
    </w:p>
    <w:p>
      <w:pPr>
        <w:pStyle w:val="Variante"/>
      </w:pPr>
      <w:r>
        <w:t xml:space="preserve">Variante : Signature du Licencié personne morale</w:t>
      </w:r>
    </w:p>
    <w:p>
      <w:pPr>
        <w:pStyle w:val="Corps"/>
      </w:pPr>
      <w:r>
        <w:t xml:space="preserve">Pour le Licencié, [Représentant du Licencié] signe en sa qualité et avec les pouvoirs vérifiés, après contrôle des annexes opposables. Le cartouche de signature désigne séparément la personne morale licenciée, le nom du représentant et sa fonction. Celui-ci déclare son pouvoir et le contrôle des annexes. Le procédé retenu établit l'identité du signataire, la date de signature, l'intégrité du contrat et sa conservation.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