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NANTISSEMENT DE FONDS DE COMMERCE</w:t>
      </w:r>
    </w:p>
    <w:p>
      <w:pPr>
        <w:pStyle w:val="Intertitre"/>
      </w:pPr>
      <w:r>
        <w:t xml:space="preserve">Constituant</w:t>
      </w:r>
    </w:p>
    <w:p>
      <w:pPr>
        <w:pStyle w:val="Corps"/>
      </w:pPr>
      <w:r>
        <w:t xml:space="preserve">Le nantissement est consenti par [Constituant], [Forme ou état civil du Constituant], domicilié ou ayant son siège [Adresse du Constituant], immatriculé sous [Immatriculation du Constituant], représenté par [Représentant du Constituant], agissant en qualité de [Qualité du représentant du Constituant], ci-après le Constituant.</w:t>
      </w:r>
    </w:p>
    <w:p>
      <w:pPr>
        <w:pStyle w:val="Intertitre"/>
      </w:pPr>
      <w:r>
        <w:t xml:space="preserve">Créancier nanti</w:t>
      </w:r>
    </w:p>
    <w:p>
      <w:pPr>
        <w:pStyle w:val="Corps"/>
      </w:pPr>
      <w:r>
        <w:t xml:space="preserve">Le nantissement est constitué au profit de [Créancier nanti], [Forme ou état civil du Créancier], domicilié ou ayant son siège [Adresse du Créancier], immatriculé sous [Immatriculation du Créancier], représenté par [Représentant du Créancier], agissant en qualité de [Qualité du représentant du Créancier], ci-après le Créancier.</w:t>
      </w:r>
    </w:p>
    <w:p>
      <w:pPr>
        <w:pStyle w:val="Intertitre"/>
      </w:pPr>
      <w:r>
        <w:t xml:space="preserve">Identité du Débiteur garanti — choisir une seule variante</w:t>
      </w:r>
    </w:p>
    <w:p>
      <w:pPr>
        <w:pStyle w:val="Variante"/>
      </w:pPr>
      <w:r>
        <w:t xml:space="preserve">Variante : Identité du Débiteur garanti</w:t>
      </w:r>
    </w:p>
    <w:p>
      <w:pPr>
        <w:pStyle w:val="Corps"/>
      </w:pPr>
      <w:r>
        <w:t xml:space="preserve">Le Constituant est également le débiteur des obligations garanties ; les références d'identification figurant ci-dessus s'appliquent aux deux qualités.</w:t>
      </w:r>
    </w:p>
    <w:p>
      <w:pPr>
        <w:pStyle w:val="Variante"/>
      </w:pPr>
      <w:r>
        <w:t xml:space="preserve">Variante : Débiteur garanti distinct</w:t>
      </w:r>
    </w:p>
    <w:p>
      <w:pPr>
        <w:pStyle w:val="Corps"/>
      </w:pPr>
      <w:r>
        <w:t xml:space="preserve">Les obligations garanties sont dues par [Débiteur garanti], identifié comme suit : [Identification du Débiteur garanti]. Le Constituant reconnaît garantir la dette de ce tiers dans les seules limites du présent acte.</w:t>
      </w:r>
    </w:p>
    <w:p>
      <w:pPr>
        <w:pStyle w:val="Intertitre"/>
      </w:pPr>
      <w:r>
        <w:t xml:space="preserve">Capacité et pouvoirs</w:t>
      </w:r>
    </w:p>
    <w:p>
      <w:pPr>
        <w:pStyle w:val="Corps"/>
      </w:pPr>
      <w:r>
        <w:t xml:space="preserve">Chaque signataire déclare disposer des pouvoirs nécessaires. Les décisions sociales, autorisations, délégations et, le cas échéant, règles relatives aux conventions réglementées sont vérifiées et conservées avec l'acte. Les pièces contrôlées sont : [Justificatif des pouvoirs].</w:t>
      </w:r>
    </w:p>
    <w:p>
      <w:pPr>
        <w:pStyle w:val="Intertitre"/>
      </w:pPr>
      <w:r>
        <w:t xml:space="preserve">Contrat principal</w:t>
      </w:r>
    </w:p>
    <w:p>
      <w:pPr>
        <w:pStyle w:val="Corps"/>
      </w:pPr>
      <w:r>
        <w:t xml:space="preserve">Les obligations garanties résultent du contrat signé le [Date du contrat garanti] sous la référence [Référence du contrat garanti]. Le nantissement en est l'accessoire sans modifier le montant, l'exigibilité ou les défenses résultant du contrat principal. La chronologie de la dette est documentée par [Justificatif du calendrier de dette].</w:t>
      </w:r>
    </w:p>
    <w:p>
      <w:pPr>
        <w:pStyle w:val="Intertitre"/>
      </w:pPr>
      <w:r>
        <w:t xml:space="preserve">Nature des créances garanties — choisir une seule variante</w:t>
      </w:r>
    </w:p>
    <w:p>
      <w:pPr>
        <w:pStyle w:val="Variante"/>
      </w:pPr>
      <w:r>
        <w:t xml:space="preserve">Variante : Créances existantes garanties</w:t>
      </w:r>
    </w:p>
    <w:p>
      <w:pPr>
        <w:pStyle w:val="Corps"/>
      </w:pPr>
      <w:r>
        <w:t xml:space="preserve">Le nantissement garantit les obligations déjà nées suivantes : [Obligations garanties existantes], pour un principal de [Principal garanti], exigible au [Échéance garantie], au taux de [Taux d'intérêt] pour cent.</w:t>
      </w:r>
    </w:p>
    <w:p>
      <w:pPr>
        <w:pStyle w:val="Variante"/>
      </w:pPr>
      <w:r>
        <w:t xml:space="preserve">Variante : Créances futures déterminables</w:t>
      </w:r>
    </w:p>
    <w:p>
      <w:pPr>
        <w:pStyle w:val="Corps"/>
      </w:pPr>
      <w:r>
        <w:t xml:space="preserve">Le nantissement garantit les créances futures déterminables selon les critères suivants : [Détermination des obligations futures]. Leur origine, leur période de naissance et leur montant maximal sont limités par le présent acte et le contrat principal.</w:t>
      </w:r>
    </w:p>
    <w:p>
      <w:pPr>
        <w:pStyle w:val="Intertitre"/>
      </w:pPr>
      <w:r>
        <w:t xml:space="preserve">Plafond et accessoires</w:t>
      </w:r>
    </w:p>
    <w:p>
      <w:pPr>
        <w:pStyle w:val="Corps"/>
      </w:pPr>
      <w:r>
        <w:t xml:space="preserve">Le principal garanti est de [Principal garanti] et les accessoires chiffrés de [Montant chiffré des accessoires], soit un total calculé de [Total garanti calculé], dans la limite du montant maximal garanti de [Montant maximal garanti]. Le montant porté à l'inscription est [Montant porté à l'inscription]. Les accessoires couverts sont : [Accessoires garantis]. Le taux est [Taux d'intérêt] % et l'échéance [Échéance garantie]. L'inscription garantit au même rang que le principal [Années d'intérêts garanties au même rang] années d'intérêts. Le rapprochement des montants est : [Justificatif des montants garantis].</w:t>
      </w:r>
    </w:p>
    <w:p>
      <w:pPr>
        <w:pStyle w:val="Intertitre"/>
      </w:pPr>
      <w:r>
        <w:t xml:space="preserve">Identification du fonds grevé</w:t>
      </w:r>
    </w:p>
    <w:p>
      <w:pPr>
        <w:pStyle w:val="Corps"/>
      </w:pPr>
      <w:r>
        <w:t xml:space="preserve">Le fonds grevé est exploité sous le nom commercial ou l'enseigne [Nom commercial ou enseigne], pour l'activité [Activité du fonds], à l'adresse [Siège d'exploitation du fonds], sous les références d'immatriculation [Immatriculation du fonds].</w:t>
      </w:r>
    </w:p>
    <w:p>
      <w:pPr>
        <w:pStyle w:val="Intertitre"/>
      </w:pPr>
      <w:r>
        <w:t xml:space="preserve">Origine de propriété</w:t>
      </w:r>
    </w:p>
    <w:p>
      <w:pPr>
        <w:pStyle w:val="Corps"/>
      </w:pPr>
      <w:r>
        <w:t xml:space="preserve">Le Constituant justifie être propriétaire du fonds pour l'avoir créé ou acquis le [Date d'origine du fonds] dans les circonstances suivantes : [Origine de propriété du fonds]. Le titre est référencé [Référence du titre d'origine]. La preuve de propriété contrôlée est : [Justificatif de propriété du fonds].</w:t>
      </w:r>
    </w:p>
    <w:p>
      <w:pPr>
        <w:pStyle w:val="Intertitre"/>
      </w:pPr>
      <w:r>
        <w:t xml:space="preserve">Statut des locaux — choisir une seule variante</w:t>
      </w:r>
    </w:p>
    <w:p>
      <w:pPr>
        <w:pStyle w:val="Variante"/>
      </w:pPr>
      <w:r>
        <w:t xml:space="preserve">Variante : Droit au bail</w:t>
      </w:r>
    </w:p>
    <w:p>
      <w:pPr>
        <w:pStyle w:val="Corps"/>
      </w:pPr>
      <w:r>
        <w:t xml:space="preserve">Le droit au bail compris dans le fonds résulte du bail signé le [Date du bail], référencé [Référence du bail commercial], consenti par [Bailleur des locaux], venant à échéance le [Échéance du bail]. Sa situation actuelle est : [Situation du bail].</w:t>
      </w:r>
    </w:p>
    <w:p>
      <w:pPr>
        <w:pStyle w:val="Variante"/>
      </w:pPr>
      <w:r>
        <w:t xml:space="preserve">Variante : Exploitation dans des locaux appartenant au Constituant</w:t>
      </w:r>
    </w:p>
    <w:p>
      <w:pPr>
        <w:pStyle w:val="Corps"/>
      </w:pPr>
      <w:r>
        <w:t xml:space="preserve">Le fonds est exploité dans des locaux appartenant au Constituant selon le titre [Titre des locaux appartenant au Constituant]. L'immeuble n'entre pas dans le périmètre du nantissement de fonds de commerce ; seule la situation d'exploitation est constatée.</w:t>
      </w:r>
    </w:p>
    <w:p>
      <w:pPr>
        <w:pStyle w:val="Intertitre"/>
      </w:pPr>
      <w:r>
        <w:t xml:space="preserve">Périmètre du nantissement — choisir une seule variante</w:t>
      </w:r>
    </w:p>
    <w:p>
      <w:pPr>
        <w:pStyle w:val="Variante"/>
      </w:pPr>
      <w:r>
        <w:t xml:space="preserve">Variante : Périmètre légal par défaut</w:t>
      </w:r>
    </w:p>
    <w:p>
      <w:pPr>
        <w:pStyle w:val="Corps"/>
      </w:pPr>
      <w:r>
        <w:t xml:space="preserve">À défaut d'extension expresse, le nantissement comprend l'enseigne et le nom commercial, le droit au bail lorsqu'il existe, la clientèle et l'achalandage attachés au fonds identifié. Aucun autre élément n'est réputé grevé par simple rattachement économique.</w:t>
      </w:r>
    </w:p>
    <w:p>
      <w:pPr>
        <w:pStyle w:val="Variante"/>
      </w:pPr>
      <w:r>
        <w:t xml:space="preserve">Variante : Périmètre expressément étendu</w:t>
      </w:r>
    </w:p>
    <w:p>
      <w:pPr>
        <w:pStyle w:val="Corps"/>
      </w:pPr>
      <w:r>
        <w:t xml:space="preserve">Outre l'enseigne, le nom commercial, le droit au bail lorsqu'il existe, la clientèle et l'achalandage, le nantissement comprend expressément : [Éléments expressément nantis]. Chaque élément supplémentaire appartient à une catégorie légalement susceptible d'être nantie avec le fonds. L'éligibilité et la propriété de chaque actif sont contrôlées par [Contrôle des actifs étendus].</w:t>
      </w:r>
    </w:p>
    <w:p>
      <w:pPr>
        <w:pStyle w:val="Intertitre"/>
      </w:pPr>
      <w:r>
        <w:t xml:space="preserve">Clause optionnelle : Matériel et outillage</w:t>
      </w:r>
    </w:p>
    <w:p>
      <w:pPr>
        <w:pStyle w:val="Corps"/>
      </w:pPr>
      <w:r>
        <w:t xml:space="preserve">Le mobilier commercial, le matériel et l'outillage suivants sont nommément compris dans le nantissement : [Matériel et outillage nantis]. Leur désignation permet de les rattacher au fonds sans inclure les marchandises destinées à la vente. L'inventaire versionné porte la référence [Référence d'inventaire du matériel].</w:t>
      </w:r>
    </w:p>
    <w:p>
      <w:pPr>
        <w:pStyle w:val="Intertitre"/>
      </w:pPr>
      <w:r>
        <w:t xml:space="preserve">Clause optionnelle : Droits de propriété intellectuelle</w:t>
      </w:r>
    </w:p>
    <w:p>
      <w:pPr>
        <w:pStyle w:val="Corps"/>
      </w:pPr>
      <w:r>
        <w:t xml:space="preserve">Le nantissement comprend les droits de propriété intellectuelle suivants : [Droits de propriété intellectuelle nantis]. Leur référence officielle, leur titulaire et leur rattachement au fonds sont vérifiés avant l'inscription complémentaire requise. Les titres et leurs titulaires sont établis par [Justificatif des titres de propriété intellectuelle].</w:t>
      </w:r>
    </w:p>
    <w:p>
      <w:pPr>
        <w:pStyle w:val="Intertitre"/>
      </w:pPr>
      <w:r>
        <w:t xml:space="preserve">Clause optionnelle : Succursales grevées</w:t>
      </w:r>
    </w:p>
    <w:p>
      <w:pPr>
        <w:pStyle w:val="Corps"/>
      </w:pPr>
      <w:r>
        <w:t xml:space="preserve">Le nantissement s'étend aux succursales suivantes : [Succursales comprises]. Chaque succursale est désignée par son siège, son activité et les éléments compris dans la sûreté. Les établissements sont établis par [Justificatif des succursales].</w:t>
      </w:r>
    </w:p>
    <w:p>
      <w:pPr>
        <w:pStyle w:val="Intertitre"/>
      </w:pPr>
      <w:r>
        <w:t xml:space="preserve">Éléments exclus</w:t>
      </w:r>
    </w:p>
    <w:p>
      <w:pPr>
        <w:pStyle w:val="Corps"/>
      </w:pPr>
      <w:r>
        <w:t xml:space="preserve">Sont exclus du nantissement : [Éléments exclus du nantissement]. Les marchandises, créances, disponibilités, immeubles et biens ne relevant pas des catégories légales ne sont pas grevés par le présent acte.</w:t>
      </w:r>
    </w:p>
    <w:p>
      <w:pPr>
        <w:pStyle w:val="Intertitre"/>
      </w:pPr>
      <w:r>
        <w:t xml:space="preserve">Inscriptions antérieures — choisir une seule variante</w:t>
      </w:r>
    </w:p>
    <w:p>
      <w:pPr>
        <w:pStyle w:val="Variante"/>
      </w:pPr>
      <w:r>
        <w:t xml:space="preserve">Variante : Inscriptions antérieures</w:t>
      </w:r>
    </w:p>
    <w:p>
      <w:pPr>
        <w:pStyle w:val="Corps"/>
      </w:pPr>
      <w:r>
        <w:t xml:space="preserve">L'état du registre révèle les inscriptions suivantes : [Inscriptions antérieures]. Le rang attendu du présent nantissement est [Rang attendu], sous réserve de la date et de l'heure effectives de son inscription. L'état a été consulté le [Date de consultation du registre] et le contrôle de rang est [Justificatif du rang].</w:t>
      </w:r>
    </w:p>
    <w:p>
      <w:pPr>
        <w:pStyle w:val="Variante"/>
      </w:pPr>
      <w:r>
        <w:t xml:space="preserve">Variante : Absence d'inscription antérieure déclarée</w:t>
      </w:r>
    </w:p>
    <w:p>
      <w:pPr>
        <w:pStyle w:val="Corps"/>
      </w:pPr>
      <w:r>
        <w:t xml:space="preserve">L'état du registre consulté ne révèle aucune inscription antérieure affectant le rang au jour de la vérification. Cette situation doit être contrôlée de nouveau immédiatement avant le dépôt. La consultation a été effectuée le [Date de consultation du registre] selon [Justificatif du rang].</w:t>
      </w:r>
    </w:p>
    <w:p>
      <w:pPr>
        <w:pStyle w:val="Intertitre"/>
      </w:pPr>
      <w:r>
        <w:t xml:space="preserve">Constitution du nantissement</w:t>
      </w:r>
    </w:p>
    <w:p>
      <w:pPr>
        <w:pStyle w:val="Corps"/>
      </w:pPr>
      <w:r>
        <w:t xml:space="preserve">Le Constituant affecte le fonds décrit au paiement des obligations garanties et le Créancier accepte cette sûreté. Le droit de préférence devient opposable aux tiers par l'inscription au registre tenu par le greffe compétent.</w:t>
      </w:r>
    </w:p>
    <w:p>
      <w:pPr>
        <w:pStyle w:val="Intertitre"/>
      </w:pPr>
      <w:r>
        <w:t xml:space="preserve">Forme de l'acte — choisir une seule variante</w:t>
      </w:r>
    </w:p>
    <w:p>
      <w:pPr>
        <w:pStyle w:val="Variante"/>
      </w:pPr>
      <w:r>
        <w:t xml:space="preserve">Variante : Forme authentique</w:t>
      </w:r>
    </w:p>
    <w:p>
      <w:pPr>
        <w:pStyle w:val="Corps"/>
      </w:pPr>
      <w:r>
        <w:t xml:space="preserve">Le nantissement est constaté par acte authentique. L'expédition et les données nécessaires au dépôt sont préparées conformément aux exigences du registre des sûretés mobilières.</w:t>
      </w:r>
    </w:p>
    <w:p>
      <w:pPr>
        <w:pStyle w:val="Variante"/>
      </w:pPr>
      <w:r>
        <w:t xml:space="preserve">Variante : Acte sous signature privée</w:t>
      </w:r>
    </w:p>
    <w:p>
      <w:pPr>
        <w:pStyle w:val="Corps"/>
      </w:pPr>
      <w:r>
        <w:t xml:space="preserve">Le nantissement est constaté par acte sous signature privée. La version signée et ses annexes sont conservées et les informations du bordereau sont rapprochées de cet acte avant transmission au greffe.</w:t>
      </w:r>
    </w:p>
    <w:p>
      <w:pPr>
        <w:pStyle w:val="Intertitre"/>
      </w:pPr>
      <w:r>
        <w:t xml:space="preserve">Absence de dépossession</w:t>
      </w:r>
    </w:p>
    <w:p>
      <w:pPr>
        <w:pStyle w:val="Corps"/>
      </w:pPr>
      <w:r>
        <w:t xml:space="preserve">Le Constituant conserve la détention et l'exploitation du fonds. Cette conservation ne réduit ni le périmètre de la sûreté inscrite ni les obligations de préserver la clientèle, le droit au bail et les éléments grevés.</w:t>
      </w:r>
    </w:p>
    <w:p>
      <w:pPr>
        <w:pStyle w:val="Intertitre"/>
      </w:pPr>
      <w:r>
        <w:t xml:space="preserve">Absence d'attribution en paiement</w:t>
      </w:r>
    </w:p>
    <w:p>
      <w:pPr>
        <w:pStyle w:val="Corps"/>
      </w:pPr>
      <w:r>
        <w:t xml:space="preserve">Le nantissement ne confère pas au Créancier le droit de se faire attribuer le fonds en paiement, même à due concurrence. Toute réalisation suit les voies légales applicables à la vente du fonds grevé.</w:t>
      </w:r>
    </w:p>
    <w:p>
      <w:pPr>
        <w:pStyle w:val="Intertitre"/>
      </w:pPr>
      <w:r>
        <w:t xml:space="preserve">Clause optionnelle : Sûreté pour la dette d'un tiers</w:t>
      </w:r>
    </w:p>
    <w:p>
      <w:pPr>
        <w:pStyle w:val="Corps"/>
      </w:pPr>
      <w:r>
        <w:t xml:space="preserve">Le Constituant, distinct du Débiteur garanti, reconnaît l'étendue du risque patrimonial et limite son engagement au fonds et au montant maximal garanti, sans renoncer aux droits et recours que la loi lui réserve. Les autorisations et limites contrôlées sont : [Justificatif de la sûreté pour autrui].</w:t>
      </w:r>
    </w:p>
    <w:p>
      <w:pPr>
        <w:pStyle w:val="Intertitre"/>
      </w:pPr>
      <w:r>
        <w:t xml:space="preserve">Conservation du fonds</w:t>
      </w:r>
    </w:p>
    <w:p>
      <w:pPr>
        <w:pStyle w:val="Corps"/>
      </w:pPr>
      <w:r>
        <w:t xml:space="preserve">Le Constituant poursuit une exploitation normale, entretient les actifs grevés, préserve la clientèle, les autorisations et la valeur du fonds et s'abstient de tout acte ayant pour objet d'organiser sa dépréciation.</w:t>
      </w:r>
    </w:p>
    <w:p>
      <w:pPr>
        <w:pStyle w:val="Intertitre"/>
      </w:pPr>
      <w:r>
        <w:t xml:space="preserve">Clause optionnelle : Préservation du droit au bail</w:t>
      </w:r>
    </w:p>
    <w:p>
      <w:pPr>
        <w:pStyle w:val="Corps"/>
      </w:pPr>
      <w:r>
        <w:t xml:space="preserve">Le Constituant exécute le bail, règle les loyers et charges, renouvelle les garanties requises et informe le Créancier de tout congé, commandement, demande de résiliation ou événement menaçant le droit au bail.</w:t>
      </w:r>
    </w:p>
    <w:p>
      <w:pPr>
        <w:pStyle w:val="Intertitre"/>
      </w:pPr>
      <w:r>
        <w:t xml:space="preserve">Assurances</w:t>
      </w:r>
    </w:p>
    <w:p>
      <w:pPr>
        <w:pStyle w:val="Corps"/>
      </w:pPr>
      <w:r>
        <w:t xml:space="preserve">Le Constituant maintient les assurances suivantes : [Assurance du fonds]. Il remet les attestations au Créancier et l'informe sans délai de tout sinistre, suspension, réduction ou résiliation susceptible d'affecter le fonds.</w:t>
      </w:r>
    </w:p>
    <w:p>
      <w:pPr>
        <w:pStyle w:val="Intertitre"/>
      </w:pPr>
      <w:r>
        <w:t xml:space="preserve">Clause optionnelle : Engagement relatif aux sûretés ultérieures</w:t>
      </w:r>
    </w:p>
    <w:p>
      <w:pPr>
        <w:pStyle w:val="Corps"/>
      </w:pPr>
      <w:r>
        <w:t xml:space="preserve">Le Constituant respecte les restrictions suivantes concernant les sûretés, cessions et actes de disposition ultérieurs : [Engagement de ne pas constituer de sûreté]. Cet engagement contractuel n'altère pas le rang résultant des inscriptions effectivement prises.</w:t>
      </w:r>
    </w:p>
    <w:p>
      <w:pPr>
        <w:pStyle w:val="Intertitre"/>
      </w:pPr>
      <w:r>
        <w:t xml:space="preserve">Déplacement du fonds</w:t>
      </w:r>
    </w:p>
    <w:p>
      <w:pPr>
        <w:pStyle w:val="Corps"/>
      </w:pPr>
      <w:r>
        <w:t xml:space="preserve">Au moins [Préavis légal minimal de déplacement] jours avant tout déplacement, le Constituant adresse aux créanciers inscrits la notification suivante : [Notification d'un déplacement]. Le préavis calculé est de [Préavis calculé de déplacement] jours. Elle indique le nouveau siège afin de permettre la mise à jour de l'inscription et de prévenir les conséquences légales d'un déplacement non signalé.</w:t>
      </w:r>
    </w:p>
    <w:p>
      <w:pPr>
        <w:pStyle w:val="Intertitre"/>
      </w:pPr>
      <w:r>
        <w:t xml:space="preserve">Clause optionnelle : Notification d'une résiliation du bail</w:t>
      </w:r>
    </w:p>
    <w:p>
      <w:pPr>
        <w:pStyle w:val="Corps"/>
      </w:pPr>
      <w:r>
        <w:t xml:space="preserve">Le Bailleur poursuivant la résiliation du bail notifie sa demande aux créanciers antérieurement inscrits. Le jugement ne peut intervenir et la résiliation amiable ne peut devenir définitive avant le délai officiel de [Délai légal relatif à la résiliation du bail] mois. Le délai calculé depuis la notification est de [Délai calculé après notification du bail] mois.</w:t>
      </w:r>
    </w:p>
    <w:p>
      <w:pPr>
        <w:pStyle w:val="Intertitre"/>
      </w:pPr>
      <w:r>
        <w:t xml:space="preserve">Information du Créancier</w:t>
      </w:r>
    </w:p>
    <w:p>
      <w:pPr>
        <w:pStyle w:val="Corps"/>
      </w:pPr>
      <w:r>
        <w:t xml:space="preserve">Le Constituant remet au Créancier les informations suivantes : [Information financière du Créancier]. Il signale également tout défaut, inscription nouvelle, saisie, procédure collective, perte d'autorisation ou baisse substantielle de valeur du fonds.</w:t>
      </w:r>
    </w:p>
    <w:p>
      <w:pPr>
        <w:pStyle w:val="Intertitre"/>
      </w:pPr>
      <w:r>
        <w:t xml:space="preserve">Cas de défaut</w:t>
      </w:r>
    </w:p>
    <w:p>
      <w:pPr>
        <w:pStyle w:val="Corps"/>
      </w:pPr>
      <w:r>
        <w:t xml:space="preserve">Les cas de défaut contractuels sont : [Cas d'exigibilité ou de défaut]. Leur constatation et leurs conséquences respectent les délais de remède, l'exigibilité de la dette garantie et les règles impératives de réalisation du nantissement.</w:t>
      </w:r>
    </w:p>
    <w:p>
      <w:pPr>
        <w:pStyle w:val="Intertitre"/>
      </w:pPr>
      <w:r>
        <w:t xml:space="preserve">Procédure collective</w:t>
      </w:r>
    </w:p>
    <w:p>
      <w:pPr>
        <w:pStyle w:val="Corps"/>
      </w:pPr>
      <w:r>
        <w:t xml:space="preserve">En cas de redressement ou de liquidation judiciaire, la validité et l'efficacité du nantissement sont appréciées au regard des règles relatives à la période suspecte et aux sûretés constituées pour des dettes antérieures.</w:t>
      </w:r>
    </w:p>
    <w:p>
      <w:pPr>
        <w:pStyle w:val="Intertitre"/>
      </w:pPr>
      <w:r>
        <w:t xml:space="preserve">Demande d'inscription</w:t>
      </w:r>
    </w:p>
    <w:p>
      <w:pPr>
        <w:pStyle w:val="Corps"/>
      </w:pPr>
      <w:r>
        <w:t xml:space="preserve">Le Créancier ou son mandataire requiert l'inscription auprès de [Greffe compétent], en élisant domicile [Domicile élu du Créancier]. La demande reprend la catégorie de sûreté, les parties, la créance et le fonds grevé. La compétence du greffe est justifiée par [Justificatif du greffe compétent] et le bordereau est contrôlé par [Contrôle du bordereau d'inscription].</w:t>
      </w:r>
    </w:p>
    <w:p>
      <w:pPr>
        <w:pStyle w:val="Intertitre"/>
      </w:pPr>
      <w:r>
        <w:t xml:space="preserve">Données portées au registre</w:t>
      </w:r>
    </w:p>
    <w:p>
      <w:pPr>
        <w:pStyle w:val="Corps"/>
      </w:pPr>
      <w:r>
        <w:t xml:space="preserve">Le bordereau mentionne un montant garanti de [Montant porté à l'inscription], le taux [Taux d'intérêt], l'échéance [Échéance garantie], ainsi que la désignation précise du fonds, de ses succursales et des éléments expressément compris.</w:t>
      </w:r>
    </w:p>
    <w:p>
      <w:pPr>
        <w:pStyle w:val="Intertitre"/>
      </w:pPr>
      <w:r>
        <w:t xml:space="preserve">Rang de l'inscription</w:t>
      </w:r>
    </w:p>
    <w:p>
      <w:pPr>
        <w:pStyle w:val="Corps"/>
      </w:pPr>
      <w:r>
        <w:t xml:space="preserve">Le rang entre créanciers nantis est déterminé par la date des inscriptions ; ceux inscrits le même jour viennent en concurrence. Aucun rang définitif n'est affirmé avant délivrance du certificat et nouvelle consultation du registre.</w:t>
      </w:r>
    </w:p>
    <w:p>
      <w:pPr>
        <w:pStyle w:val="Intertitre"/>
      </w:pPr>
      <w:r>
        <w:t xml:space="preserve">Durée et renouvellement de l'inscription</w:t>
      </w:r>
    </w:p>
    <w:p>
      <w:pPr>
        <w:pStyle w:val="Corps"/>
      </w:pPr>
      <w:r>
        <w:t xml:space="preserve">Pour le nantissement de fonds de commerce, l'inscription produit effet pendant [Durée officielle de l'inscription] ans et peut être renouvelée avant son échéance. La date d'inscription est [Date d'inscription], l'expiration [Échéance de l'inscription] et l'échéance interne de renouvellement [Échéance interne de renouvellement] ; la durée calculée est de [Durée d'inscription calculée] ans. Le calendrier contrôlé est : [Justificatif du calendrier d'inscription].</w:t>
      </w:r>
    </w:p>
    <w:p>
      <w:pPr>
        <w:pStyle w:val="Intertitre"/>
      </w:pPr>
      <w:r>
        <w:t xml:space="preserve">Clause optionnelle : Publicité complémentaire des droits de propriété intellectuelle</w:t>
      </w:r>
    </w:p>
    <w:p>
      <w:pPr>
        <w:pStyle w:val="Corps"/>
      </w:pPr>
      <w:r>
        <w:t xml:space="preserve">Lorsque le nantissement comprend des brevets, licences, marques, dessins ou modèles, la publicité complémentaire auprès de l'Institut national de la propriété industrielle est accomplie pour assurer l'opposabilité de la sûreté sur ces titres. Les titres et données de publicité sont établis par [Justificatif des titres de propriété intellectuelle].</w:t>
      </w:r>
    </w:p>
    <w:p>
      <w:pPr>
        <w:pStyle w:val="Intertitre"/>
      </w:pPr>
      <w:r>
        <w:t xml:space="preserve">Clause optionnelle : Certificat d'inscription</w:t>
      </w:r>
    </w:p>
    <w:p>
      <w:pPr>
        <w:pStyle w:val="Corps"/>
      </w:pPr>
      <w:r>
        <w:t xml:space="preserve">L'inscription au registre porte la référence [Référence de l'inscription]. Cette valeur provient exclusivement du certificat délivré par le greffe et permet de contrôler le rang, le périmètre publié et l'échéance. Le certificat contrôlé est : [Justificatif du certificat d'inscription].</w:t>
      </w:r>
    </w:p>
    <w:p>
      <w:pPr>
        <w:pStyle w:val="Intertitre"/>
      </w:pPr>
      <w:r>
        <w:t xml:space="preserve">Clause optionnelle : Justificatif de publicité INPI</w:t>
      </w:r>
    </w:p>
    <w:p>
      <w:pPr>
        <w:pStyle w:val="Corps"/>
      </w:pPr>
      <w:r>
        <w:t xml:space="preserve">La publicité complémentaire auprès de l'INPI porte la référence [Référence de publicité INPI]. Cette référence est reprise exclusivement du justificatif délivré pour les titres concernés.</w:t>
      </w:r>
    </w:p>
    <w:p>
      <w:pPr>
        <w:pStyle w:val="Intertitre"/>
      </w:pPr>
      <w:r>
        <w:t xml:space="preserve">Réalisation du nantissement</w:t>
      </w:r>
    </w:p>
    <w:p>
      <w:pPr>
        <w:pStyle w:val="Corps"/>
      </w:pPr>
      <w:r>
        <w:t xml:space="preserve">Après exigibilité et défaut, le Créancier inscrit peut demander la vente du fonds après la sommation suivante : [Sommation préalable]. Elle est adressée au débiteur et, s'il y a lieu, au tiers détenteur. La demande ne peut être formée qu'après le délai officiel de [Délai légal après sommation] jours ; le délai calculé est de [Délai calculé après sommation] jours. Les prérequis et preuves sont : [Justificatif de réalisation].</w:t>
      </w:r>
    </w:p>
    <w:p>
      <w:pPr>
        <w:pStyle w:val="Intertitre"/>
      </w:pPr>
      <w:r>
        <w:t xml:space="preserve">Protection de l'unité du fonds</w:t>
      </w:r>
    </w:p>
    <w:p>
      <w:pPr>
        <w:pStyle w:val="Corps"/>
      </w:pPr>
      <w:r>
        <w:t xml:space="preserve">Une poursuite portant séparément sur des éléments du fonds respecte les notifications aux créanciers inscrits et les délais légaux. Le Créancier peut demander la vente de l'ensemble lorsque la vente séparée met en péril la valeur du fonds.</w:t>
      </w:r>
    </w:p>
    <w:p>
      <w:pPr>
        <w:pStyle w:val="Intertitre"/>
      </w:pPr>
      <w:r>
        <w:t xml:space="preserve">Mainlevée et radiation</w:t>
      </w:r>
    </w:p>
    <w:p>
      <w:pPr>
        <w:pStyle w:val="Corps"/>
      </w:pPr>
      <w:r>
        <w:t xml:space="preserve">Après extinction ou remplacement de la garantie dans les conditions [Conditions de mainlevée], le Créancier fournit dans le délai convenu les actes nécessaires à la radiation et coopère à la correction des données du registre. Le justificatif délivré après radiation est remis aux parties et conservé avec le dossier de mainlevée.</w:t>
      </w:r>
    </w:p>
    <w:p>
      <w:pPr>
        <w:pStyle w:val="Intertitre"/>
      </w:pPr>
      <w:r>
        <w:t xml:space="preserve">Frais</w:t>
      </w:r>
    </w:p>
    <w:p>
      <w:pPr>
        <w:pStyle w:val="Corps"/>
      </w:pPr>
      <w:r>
        <w:t xml:space="preserve">Les frais d'acte, d'inscription, de renouvellement, de publicité complémentaire et de radiation sont répartis selon [Frais et formalités]. Cette répartition ne modifie pas la personne tenue envers le greffe, l'INPI ou un tiers.</w:t>
      </w:r>
    </w:p>
    <w:p>
      <w:pPr>
        <w:pStyle w:val="Intertitre"/>
      </w:pPr>
      <w:r>
        <w:t xml:space="preserve">Notifications</w:t>
      </w:r>
    </w:p>
    <w:p>
      <w:pPr>
        <w:pStyle w:val="Corps"/>
      </w:pPr>
      <w:r>
        <w:t xml:space="preserve">Les notifications contractuelles sont adressées aux coordonnées suivantes : [Adresses de notification]. L'élection de domicile portée au registre demeure régie par les données de l'inscription et ses éventuelles modifications.</w:t>
      </w:r>
    </w:p>
    <w:p>
      <w:pPr>
        <w:pStyle w:val="Intertitre"/>
      </w:pPr>
      <w:r>
        <w:t xml:space="preserve">Droit applicable et différends</w:t>
      </w:r>
    </w:p>
    <w:p>
      <w:pPr>
        <w:pStyle w:val="Corps"/>
      </w:pPr>
      <w:r>
        <w:t xml:space="preserve">L'acte est régi par [Droit applicable]. Les différends sont traités selon [Règlement des différends], sans écarter la compétence impérative du tribunal désigné par les procédures de réalisation du fonds.</w:t>
      </w:r>
    </w:p>
    <w:p>
      <w:pPr>
        <w:pStyle w:val="Intertitre"/>
      </w:pPr>
      <w:r>
        <w:t xml:space="preserve">Annexes</w:t>
      </w:r>
    </w:p>
    <w:p>
      <w:pPr>
        <w:pStyle w:val="Corps"/>
      </w:pPr>
      <w:r>
        <w:t xml:space="preserve">Sont annexés : [Annexes]. Le titre du fonds, le contrat principal, l'état des inscriptions et, le cas échéant, le bail, les inventaires, pouvoirs et formulaires de publicité sont identifiés dans la version signée. Le rapprochement versionné est : [Contrôle des annexes].</w:t>
      </w:r>
    </w:p>
    <w:p>
      <w:pPr>
        <w:pStyle w:val="Intertitre"/>
      </w:pPr>
      <w:r>
        <w:t xml:space="preserve">État du document — choisir une seule variante</w:t>
      </w:r>
    </w:p>
    <w:p>
      <w:pPr>
        <w:pStyle w:val="Variante"/>
      </w:pPr>
      <w:r>
        <w:t xml:space="preserve">Variante : Projet d'acte</w:t>
      </w:r>
    </w:p>
    <w:p>
      <w:pPr>
        <w:pStyle w:val="Corps"/>
      </w:pPr>
      <w:r>
        <w:t xml:space="preserve">Le présent texte demeure un projet tant qu'il n'a pas été signé par toutes les parties et rapproché du contrat principal, du titre du fonds et de l'état actualisé des inscriptions.</w:t>
      </w:r>
    </w:p>
    <w:p>
      <w:pPr>
        <w:pStyle w:val="Variante"/>
      </w:pPr>
      <w:r>
        <w:t xml:space="preserve">Variante : Acte signé à inscrire</w:t>
      </w:r>
    </w:p>
    <w:p>
      <w:pPr>
        <w:pStyle w:val="Corps"/>
      </w:pPr>
      <w:r>
        <w:t xml:space="preserve">L'acte signé constitue le nantissement entre les parties. Son droit de préférence n'est opposable aux tiers qu'après inscription au registre compétent et, pour les titres concernés, accomplissement de la publicité complémentaire.</w:t>
      </w:r>
    </w:p>
    <w:p>
      <w:pPr>
        <w:pStyle w:val="Variante"/>
      </w:pPr>
      <w:r>
        <w:t xml:space="preserve">Variante : Copie de suivi après inscription</w:t>
      </w:r>
    </w:p>
    <w:p>
      <w:pPr>
        <w:pStyle w:val="Corps"/>
      </w:pPr>
      <w:r>
        <w:t xml:space="preserve">La copie de suivi réunit l'acte signé et les certificats d'inscription effectivement délivrés. Elle permet de contrôler le rang, l'échéance, le périmètre publié et les renouvellements à programmer.</w:t>
      </w:r>
    </w:p>
    <w:p>
      <w:pPr>
        <w:pStyle w:val="Intertitre"/>
      </w:pPr>
      <w:r>
        <w:t xml:space="preserve">Signatures</w:t>
      </w:r>
    </w:p>
    <w:p>
      <w:pPr>
        <w:pStyle w:val="Corps"/>
      </w:pPr>
      <w:r>
        <w:t xml:space="preserve">Le Constituant signe sous le nom [Signature du Constituant] et le Créancier sous le nom [Signature du Créancier], après vérification du fonds, de la dette garantie, du périmètre de la sûreté et des pouvoirs.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