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EN DIVORCE POUR ALTÉRATION DÉFINITIVE DU LIEN CONJUGAL</w:t>
      </w:r>
    </w:p>
    <w:p>
      <w:pPr>
        <w:pStyle w:val="Intertitre"/>
      </w:pPr>
      <w:r>
        <w:t xml:space="preserve"> — choisir une seule variante</w:t>
      </w:r>
    </w:p>
    <w:p>
      <w:pPr>
        <w:pStyle w:val="Variante"/>
      </w:pPr>
      <w:r>
        <w:t xml:space="preserve">Variante : PROJET D'ASSIGNATION</w:t>
      </w:r>
    </w:p>
    <w:p>
      <w:pPr>
        <w:pStyle w:val="Corps"/>
      </w:pPr>
      <w:r>
        <w:t xml:space="preserve">Projet d'assignation référencé [Référence du dossier]. Il demeure soumis au contrôle de l'avocat quant aux parties, à l'audience, au fondement, aux mesures et aux pièces. Aucune signature définitive, signification par commissaire de justice ni saisine du tribunal ne peut être déduite de ce stade préparatoire.</w:t>
      </w:r>
    </w:p>
    <w:p>
      <w:pPr>
        <w:pStyle w:val="Variante"/>
      </w:pPr>
      <w:r>
        <w:t xml:space="preserve">Variante : ASSIGNATION PRÊTE À SIGNIFIER</w:t>
      </w:r>
    </w:p>
    <w:p>
      <w:pPr>
        <w:pStyle w:val="Corps"/>
      </w:pPr>
      <w:r>
        <w:t xml:space="preserve">La version est arrêtée après contrôle de l'audience, des mentions obligatoires, du fondement indiqué ou réservé, des demandes provisoires et définitives, ainsi que du bordereau. Elle est signée par l'avocat mais doit encore être remise au commissaire de justice, signifiée puis placée dans les délais applicables.</w:t>
      </w:r>
    </w:p>
    <w:p>
      <w:pPr>
        <w:pStyle w:val="Variante"/>
      </w:pPr>
      <w:r>
        <w:t xml:space="preserve">Variante : ASSIGNATION SIGNIFIÉE</w:t>
      </w:r>
    </w:p>
    <w:p>
      <w:pPr>
        <w:pStyle w:val="Corps"/>
      </w:pPr>
      <w:r>
        <w:t xml:space="preserve">La signification est établie par [Preuve de signification]. Cette preuve identifie la date, le destinataire et la modalité de remise ; le placement au greffe demeure distinct et doit encore être contrôlé avant toute présentation de l'affaire comme régulièrement saisie.</w:t>
      </w:r>
    </w:p>
    <w:p>
      <w:pPr>
        <w:pStyle w:val="Variante"/>
      </w:pPr>
      <w:r>
        <w:t xml:space="preserve">Variante : ASSIGNATION SIGNIFIÉE ET PLACÉE</w:t>
      </w:r>
    </w:p>
    <w:p>
      <w:pPr>
        <w:pStyle w:val="Corps"/>
      </w:pPr>
      <w:r>
        <w:t xml:space="preserve">La signification est établie par [Preuve de signification] et le placement au greffe par [Preuve de placement]. Ces deux preuves sont rapprochées des délais applicables et du numéro de rôle avant que l'acte soit traité comme signifié et placé.</w:t>
      </w:r>
    </w:p>
    <w:p>
      <w:pPr>
        <w:pStyle w:val="Intertitre"/>
      </w:pPr>
      <w:r>
        <w:t xml:space="preserve">TRIBUNAL ET AUDIENCE D'ORIENTATION</w:t>
      </w:r>
    </w:p>
    <w:p>
      <w:pPr>
        <w:pStyle w:val="Corps"/>
      </w:pPr>
      <w:r>
        <w:t xml:space="preserve">L'affaire est appelée devant [Tribunal judiciaire], [Chambre ou cabinet du JAF], le [Date de l'audience d'orientation] à [Heure de l'audience], à [Lieu de l'audience]. Ces indications reproduisent celles communiquées par le greffe et permettent au défendeur d'identifier sans ambiguïté la juridiction, la formation et l'audience d'orientation.</w:t>
      </w:r>
    </w:p>
    <w:p>
      <w:pPr>
        <w:pStyle w:val="Intertitre"/>
      </w:pPr>
      <w:r>
        <w:t xml:space="preserve">ASSIGNATION EN DIVORCE</w:t>
      </w:r>
    </w:p>
    <w:p>
      <w:pPr>
        <w:pStyle w:val="Corps"/>
      </w:pPr>
      <w:r>
        <w:t xml:space="preserve">La présente assignation introduit une procédure de divorce devant le juge aux affaires familiales. Elle contient les informations relatives à l'audience d'orientation, les demandes de mesures provisoires éventuellement formées, la proposition patrimoniale obligatoire et les prétentions définitives soumises au juge.</w:t>
      </w:r>
    </w:p>
    <w:p>
      <w:pPr>
        <w:pStyle w:val="Intertitre"/>
      </w:pPr>
      <w:r>
        <w:t xml:space="preserve">À LA DEMANDE DE</w:t>
      </w:r>
    </w:p>
    <w:p>
      <w:pPr>
        <w:pStyle w:val="Corps"/>
      </w:pPr>
      <w:r>
        <w:t xml:space="preserve">À la demande de [Nom du demandeur] [Prénoms du demandeur], exerçant la profession de [Profession du demandeur], demeurant [Domicile du demandeur], de nationalité [Nationalité du demandeur], né(e) le [Date de naissance du demandeur] à [Lieu de naissance du demandeur], dont l'identité et le domicile ont été rapprochés des pièces produites.</w:t>
      </w:r>
    </w:p>
    <w:p>
      <w:pPr>
        <w:pStyle w:val="Intertitre"/>
      </w:pPr>
      <w:r>
        <w:t xml:space="preserve">AVOCAT CONSTITUÉ DU DEMANDEUR</w:t>
      </w:r>
    </w:p>
    <w:p>
      <w:pPr>
        <w:pStyle w:val="Corps"/>
      </w:pPr>
      <w:r>
        <w:t xml:space="preserve">Le demandeur constitue pour avocat [Avocat du demandeur]. Les coordonnées professionnelles, le barreau, la toque et le pouvoir de représentation sont ceux vérifiés au dossier ; cet avocat signe l'acte avant sa signification.</w:t>
      </w:r>
    </w:p>
    <w:p>
      <w:pPr>
        <w:pStyle w:val="Intertitre"/>
      </w:pPr>
      <w:r>
        <w:t xml:space="preserve">ACTE DU COMMISSAIRE DE JUSTICE</w:t>
      </w:r>
    </w:p>
    <w:p>
      <w:pPr>
        <w:pStyle w:val="Corps"/>
      </w:pPr>
      <w:r>
        <w:t xml:space="preserve">Le commissaire de justice chargé de la signification est [Commissaire de justice], exerçant au sein de [Office du commissaire de justice]. La date portée sur l'acte est [Date de signification] et son destinataire est [Destinataire de la copie]. L'acte instrumentaire précise sa qualité, le lieu, les diligences accomplies et la modalité de remise effectivement utilisée.</w:t>
      </w:r>
    </w:p>
    <w:p>
      <w:pPr>
        <w:pStyle w:val="Intertitre"/>
      </w:pPr>
      <w:r>
        <w:t xml:space="preserve">À L'ENCONTRE DE</w:t>
      </w:r>
    </w:p>
    <w:p>
      <w:pPr>
        <w:pStyle w:val="Corps"/>
      </w:pPr>
      <w:r>
        <w:t xml:space="preserve">À l'encontre de [Nom du défendeur] [Prénoms du défendeur], exerçant la profession de [Profession du défendeur], demeurant [Domicile du défendeur], de nationalité [Nationalité du défendeur], né(e) le [Date de naissance du défendeur] à [Lieu de naissance du défendeur], selon les éléments d'identification et de domicile vérifiés avant signification.</w:t>
      </w:r>
    </w:p>
    <w:p>
      <w:pPr>
        <w:pStyle w:val="Intertitre"/>
      </w:pPr>
      <w:r>
        <w:t xml:space="preserve">AVERTISSEMENT AU DÉFENDEUR</w:t>
      </w:r>
    </w:p>
    <w:p>
      <w:pPr>
        <w:pStyle w:val="Corps"/>
      </w:pPr>
      <w:r>
        <w:t xml:space="preserve">Le défendeur est averti qu'il doit constituer avocat dans les conditions et délais reproduits dans [Avertissement de constitution]. Cette mention expose les modalités de comparution et les conséquences procédurales d'un défaut de constitution sans préjuger des décisions du juge.</w:t>
      </w:r>
    </w:p>
    <w:p>
      <w:pPr>
        <w:pStyle w:val="Intertitre"/>
      </w:pPr>
      <w:r>
        <w:t xml:space="preserve">COMPÉTENCE</w:t>
      </w:r>
    </w:p>
    <w:p>
      <w:pPr>
        <w:pStyle w:val="Corps"/>
      </w:pPr>
      <w:r>
        <w:t xml:space="preserve">La compétence matérielle et territoriale du juge aux affaires familiales saisi est justifiée par [Compétence du tribunal]. L'analyse distingue le domicile familial, la résidence des enfants et les autres critères pertinents sans déduire la compétence d'une adresse non vérifiée.</w:t>
      </w:r>
    </w:p>
    <w:p>
      <w:pPr>
        <w:pStyle w:val="Intertitre"/>
      </w:pPr>
      <w:r>
        <w:t xml:space="preserve"> — choisir une seule variante</w:t>
      </w:r>
    </w:p>
    <w:p>
      <w:pPr>
        <w:pStyle w:val="Variante"/>
      </w:pPr>
      <w:r>
        <w:t xml:space="preserve">Variante : SIGNIFICATION À PERSONNE</w:t>
      </w:r>
    </w:p>
    <w:p>
      <w:pPr>
        <w:pStyle w:val="Corps"/>
      </w:pPr>
      <w:r>
        <w:t xml:space="preserve">La remise à personne est poursuivie selon [Modalités de signification]. L'acte de signification identifiera le destinataire, la date, le lieu, les diligences accomplies et la remise effective conformément aux mentions contrôlées du commissaire de justice.</w:t>
      </w:r>
    </w:p>
    <w:p>
      <w:pPr>
        <w:pStyle w:val="Variante"/>
      </w:pPr>
      <w:r>
        <w:t xml:space="preserve">Variante : SIGNIFICATION À DOMICILE</w:t>
      </w:r>
    </w:p>
    <w:p>
      <w:pPr>
        <w:pStyle w:val="Corps"/>
      </w:pPr>
      <w:r>
        <w:t xml:space="preserve">La signification à domicile ou à résidence est mise en œuvre selon [Modalités de signification] après constat des conditions permettant cette modalité. L'acte relate les diligences, la personne rencontrée, les avis et formalités accomplis.</w:t>
      </w:r>
    </w:p>
    <w:p>
      <w:pPr>
        <w:pStyle w:val="Variante"/>
      </w:pPr>
      <w:r>
        <w:t xml:space="preserve">Variante : DÉPÔT À L'ÉTUDE</w:t>
      </w:r>
    </w:p>
    <w:p>
      <w:pPr>
        <w:pStyle w:val="Corps"/>
      </w:pPr>
      <w:r>
        <w:t xml:space="preserve">La copie est déposée à l'étude dans les seules conditions décrites par [Modalités de signification]. Les vérifications de domicile, l'avis de passage, l'information du destinataire et les dates utiles sont consignés dans l'acte instrumentaire.</w:t>
      </w:r>
    </w:p>
    <w:p>
      <w:pPr>
        <w:pStyle w:val="Variante"/>
      </w:pPr>
      <w:r>
        <w:t xml:space="preserve">Variante : PROCÈS-VERBAL DE RECHERCHES</w:t>
      </w:r>
    </w:p>
    <w:p>
      <w:pPr>
        <w:pStyle w:val="Corps"/>
      </w:pPr>
      <w:r>
        <w:t xml:space="preserve">Le procès-verbal de recherches infructueuses n'est retenu qu'après les diligences concrètes, précises et vérifiables exposées dans [Modalités de signification]. Les recherches d'adresse, consultations, déplacements et contacts sont datés, leurs résultats sont relatés, et les formalités d'information consécutives sont justifiées séparément.</w:t>
      </w:r>
    </w:p>
    <w:p>
      <w:pPr>
        <w:pStyle w:val="Variante"/>
      </w:pPr>
      <w:r>
        <w:t xml:space="preserve">Variante : SIGNIFICATION ÉLECTRONIQUE AUTORISÉE</w:t>
      </w:r>
    </w:p>
    <w:p>
      <w:pPr>
        <w:pStyle w:val="Corps"/>
      </w:pPr>
      <w:r>
        <w:t xml:space="preserve">La signification électronique n'est retenue que si son fondement, le consentement ou l'autorisation applicable et la preuve de remise ressortent de [Modalités de signification]. Aucune remise électronique informelle n'est assimilée à une signification régulière.</w:t>
      </w:r>
    </w:p>
    <w:p>
      <w:pPr>
        <w:pStyle w:val="Intertitre"/>
      </w:pPr>
      <w:r>
        <w:t xml:space="preserve"> — choisir une seule variante</w:t>
      </w:r>
    </w:p>
    <w:p>
      <w:pPr>
        <w:pStyle w:val="Variante"/>
      </w:pPr>
      <w:r>
        <w:t xml:space="preserve">Variante : COMPARUTION À L'AUDIENCE</w:t>
      </w:r>
    </w:p>
    <w:p>
      <w:pPr>
        <w:pStyle w:val="Corps"/>
      </w:pPr>
      <w:r>
        <w:t xml:space="preserve">Le défendeur est informé des conditions de comparution à l'audience d'orientation par [Convocation à l'audience d'orientation]. La date, l'heure, le lieu, l'objet de l'audience, le régime de représentation et les conséquences d'une absence de constitution sont reproduits fidèlement à partir des indications du greffe.</w:t>
      </w:r>
    </w:p>
    <w:p>
      <w:pPr>
        <w:pStyle w:val="Variante"/>
      </w:pPr>
      <w:r>
        <w:t xml:space="preserve">Variante : AUDIENCE À DISTANCE AUTORISÉE</w:t>
      </w:r>
    </w:p>
    <w:p>
      <w:pPr>
        <w:pStyle w:val="Corps"/>
      </w:pPr>
      <w:r>
        <w:t xml:space="preserve">Une comparution à distance n'est présentée comme acquise que sur la base des modalités autorisées dans [Audience à distance]. Le moyen technique, l'identification des participants et les instructions de connexion sont rapprochés de l'avis du greffe.</w:t>
      </w:r>
    </w:p>
    <w:p>
      <w:pPr>
        <w:pStyle w:val="Intertitre"/>
      </w:pPr>
      <w:r>
        <w:t xml:space="preserve"> — choisir une seule variante</w:t>
      </w:r>
    </w:p>
    <w:p>
      <w:pPr>
        <w:pStyle w:val="Variante"/>
      </w:pPr>
      <w:r>
        <w:t xml:space="preserve">Variante : ABSENCE DE MESURE PROVISOIRE DEMANDÉE</w:t>
      </w:r>
    </w:p>
    <w:p>
      <w:pPr>
        <w:pStyle w:val="Corps"/>
      </w:pPr>
      <w:r>
        <w:t xml:space="preserve">Aucune mesure provisoire distincte n'est sollicitée au stade de l'orientation. Cette absence de demande ne vaut ni renonciation aux demandes au fond ni affirmation qu'aucune difficulté matérielle ou familiale n'existe.</w:t>
      </w:r>
    </w:p>
    <w:p>
      <w:pPr>
        <w:pStyle w:val="Variante"/>
      </w:pPr>
      <w:r>
        <w:t xml:space="preserve">Variante : MESURES PROVISOIRES SOLLICITÉES</w:t>
      </w:r>
    </w:p>
    <w:p>
      <w:pPr>
        <w:pStyle w:val="Corps"/>
      </w:pPr>
      <w:r>
        <w:t xml:space="preserve">Le demandeur sollicite les mesures provisoires nécessaires à l'organisation de la vie séparée et de l'instance. Chaque mesure ci-après est individualisée, motivée par les faits vérifiés et reprise exactement dans le dispositif.</w:t>
      </w:r>
    </w:p>
    <w:p>
      <w:pPr>
        <w:pStyle w:val="Intertitre"/>
      </w:pPr>
      <w:r>
        <w:t xml:space="preserve">MARIAGE</w:t>
      </w:r>
    </w:p>
    <w:p>
      <w:pPr>
        <w:pStyle w:val="Corps"/>
      </w:pPr>
      <w:r>
        <w:t xml:space="preserve">Les époux ont contracté mariage le [Date du mariage] à [Lieu du mariage]. L'union est identifiée par [Acte de mariage] ; la date, le lieu, l'officier d'état civil et les mentions marginales utiles sont repris de l'acte de mariage intégral communiqué au dossier.</w:t>
      </w:r>
    </w:p>
    <w:p>
      <w:pPr>
        <w:pStyle w:val="Intertitre"/>
      </w:pPr>
      <w:r>
        <w:t xml:space="preserve">RÉGIME MATRIMONIAL</w:t>
      </w:r>
    </w:p>
    <w:p>
      <w:pPr>
        <w:pStyle w:val="Corps"/>
      </w:pPr>
      <w:r>
        <w:t xml:space="preserve">Les époux sont soumis au régime matrimonial [Régime matrimonial]. L'existence ou l'absence d'un contrat de mariage, ainsi que ses références utiles, ressortent de [Contrat de mariage] et sont prises en compte dans la proposition patrimoniale.</w:t>
      </w:r>
    </w:p>
    <w:p>
      <w:pPr>
        <w:pStyle w:val="Intertitre"/>
      </w:pPr>
      <w:r>
        <w:t xml:space="preserve">Clause optionnelle : ENFANTS</w:t>
      </w:r>
    </w:p>
    <w:p>
      <w:pPr>
        <w:pStyle w:val="Corps"/>
      </w:pPr>
      <w:r>
        <w:t xml:space="preserve">La composition de la famille et la situation de chaque enfant sont exposées dans [Enfants]. Pour chacun sont vérifiés l'identité, la date de naissance, la filiation, la majorité éventuelle, la résidence et les besoins pertinents pour les demandes formées.</w:t>
      </w:r>
    </w:p>
    <w:p>
      <w:pPr>
        <w:pStyle w:val="Intertitre"/>
      </w:pPr>
      <w:r>
        <w:t xml:space="preserve">Clause optionnelle : PROCÉDURES ET DÉCISIONS ANTÉRIEURES</w:t>
      </w:r>
    </w:p>
    <w:p>
      <w:pPr>
        <w:pStyle w:val="Corps"/>
      </w:pPr>
      <w:r>
        <w:t xml:space="preserve">Les procédures, décisions, accords et mesures antérieurs utiles à la compréhension du litige sont retracés chronologiquement dans [Historique procédural]. Chaque élément invoqué est relié à une décision ou à une pièce du bordereau.</w:t>
      </w:r>
    </w:p>
    <w:p>
      <w:pPr>
        <w:pStyle w:val="Intertitre"/>
      </w:pPr>
      <w:r>
        <w:t xml:space="preserve"> — choisir une seule variante</w:t>
      </w:r>
    </w:p>
    <w:p>
      <w:pPr>
        <w:pStyle w:val="Variante"/>
      </w:pPr>
      <w:r>
        <w:t xml:space="preserve">Variante : FONDEMENT INDIQUÉ DANS L'ASSIGNATION</w:t>
      </w:r>
    </w:p>
    <w:p>
      <w:pPr>
        <w:pStyle w:val="Corps"/>
      </w:pPr>
      <w:r>
        <w:t xml:space="preserve">La demande est expressément fondée sur l'altération définitive du lien conjugal selon [Fondement indiqué dans l'assignation]. Le demandeur soutient que les conditions légales sont réunies et articule ce fondement avec la cessation de la communauté de vie, sa durée et les preuves communiquées.</w:t>
      </w:r>
    </w:p>
    <w:p>
      <w:pPr>
        <w:pStyle w:val="Variante"/>
      </w:pPr>
      <w:r>
        <w:t xml:space="preserve">Variante : FONDEMENT RÉSERVÉ POUR LES PREMIÈRES CONCLUSIONS</w:t>
      </w:r>
    </w:p>
    <w:p>
      <w:pPr>
        <w:pStyle w:val="Corps"/>
      </w:pPr>
      <w:r>
        <w:t xml:space="preserve">L'instance est introduite sans indication du motif du divorce. Le fondement tiré de l'altération définitive du lien conjugal sera exposé dans les premières conclusions au fond, après communication contradictoire. En conséquence, le présent acte n'affirme pas que la durée d'un an est déjà acquise lors de la demande.</w:t>
      </w:r>
    </w:p>
    <w:p>
      <w:pPr>
        <w:pStyle w:val="Intertitre"/>
      </w:pPr>
      <w:r>
        <w:t xml:space="preserve">CESSATION DE LA COMMUNAUTÉ DE VIE</w:t>
      </w:r>
    </w:p>
    <w:p>
      <w:pPr>
        <w:pStyle w:val="Corps"/>
      </w:pPr>
      <w:r>
        <w:t xml:space="preserve">La communauté de vie, tant matérielle qu'affective, a cessé à compter du [Date de cessation de communauté de vie]. Les circonstances concrètes de cette rupture et l'organisation séparée des époux sont décrites dans [Cessation de communauté de vie] sans confondre simple éloignement et cessation effective.</w:t>
      </w:r>
    </w:p>
    <w:p>
      <w:pPr>
        <w:pStyle w:val="Intertitre"/>
      </w:pPr>
      <w:r>
        <w:t xml:space="preserve">PREUVES DE LA SÉPARATION</w:t>
      </w:r>
    </w:p>
    <w:p>
      <w:pPr>
        <w:pStyle w:val="Corps"/>
      </w:pPr>
      <w:r>
        <w:t xml:space="preserve">La cessation de la communauté de vie et sa continuité sont étayées par [Preuves de séparation]. Les pièces sont datées, concordantes et rapprochées de la période invoquée ; aucune circonstance non prouvée n'est présentée comme acquise.</w:t>
      </w:r>
    </w:p>
    <w:p>
      <w:pPr>
        <w:pStyle w:val="Intertitre"/>
      </w:pPr>
      <w:r>
        <w:t xml:space="preserve"> — choisir une seule variante</w:t>
      </w:r>
    </w:p>
    <w:p>
      <w:pPr>
        <w:pStyle w:val="Variante"/>
      </w:pPr>
      <w:r>
        <w:t xml:space="preserve">Variante : ABSENCE DE REPRISE DE VIE COMMUNE</w:t>
      </w:r>
    </w:p>
    <w:p>
      <w:pPr>
        <w:pStyle w:val="Corps"/>
      </w:pPr>
      <w:r>
        <w:t xml:space="preserve">L'analyse [Réconciliation ou reprise de vie commune] ne révèle aucune reprise de communauté de vie depuis la date de cessation retenue. La continuité de la période invoquée demeure toutefois appréciée au regard de l'ensemble des pièces et circonstances vérifiées.</w:t>
      </w:r>
    </w:p>
    <w:p>
      <w:pPr>
        <w:pStyle w:val="Variante"/>
      </w:pPr>
      <w:r>
        <w:t xml:space="preserve">Variante : TENTATIVE SANS REPRISE DE VIE COMMUNE</w:t>
      </w:r>
    </w:p>
    <w:p>
      <w:pPr>
        <w:pStyle w:val="Corps"/>
      </w:pPr>
      <w:r>
        <w:t xml:space="preserve">Les échanges ou tentatives de rapprochement décrits dans [Réconciliation ou reprise de vie commune] n'ont pas rétabli une communauté de vie matérielle et affective. Leur portée est exposée factuellement afin que le juge puisse apprécier s'ils ont ou non interrompu la période invoquée.</w:t>
      </w:r>
    </w:p>
    <w:p>
      <w:pPr>
        <w:pStyle w:val="Variante"/>
      </w:pPr>
      <w:r>
        <w:t xml:space="preserve">Variante : REPRISE PUIS NOUVELLE CESSATION</w:t>
      </w:r>
    </w:p>
    <w:p>
      <w:pPr>
        <w:pStyle w:val="Corps"/>
      </w:pPr>
      <w:r>
        <w:t xml:space="preserve">Une reprise de communauté de vie est identifiée dans [Réconciliation ou reprise de vie commune]. Le nouveau point de départ allégué, sa continuité et la durée qui en résulte sont recalculés à partir d'éléments datés avant toute demande fondée sur l'altération définitive.</w:t>
      </w:r>
    </w:p>
    <w:p>
      <w:pPr>
        <w:pStyle w:val="Intertitre"/>
      </w:pPr>
      <w:r>
        <w:t xml:space="preserve">Clause optionnelle : DURÉE SATISFAITE À L'INTRODUCTION</w:t>
      </w:r>
    </w:p>
    <w:p>
      <w:pPr>
        <w:pStyle w:val="Corps"/>
      </w:pPr>
      <w:r>
        <w:t xml:space="preserve">À la date d'introduction de la demande, la durée légale invoquée est réputée atteinte selon [Calcul de la durée]. Le calcul précise le point de départ, les éventuelles interruptions, la date de la demande et les pièces justifiant chaque étape.</w:t>
      </w:r>
    </w:p>
    <w:p>
      <w:pPr>
        <w:pStyle w:val="Intertitre"/>
      </w:pPr>
      <w:r>
        <w:t xml:space="preserve">Clause optionnelle : DURÉE APPRÉCIÉE AU PRONONCÉ</w:t>
      </w:r>
    </w:p>
    <w:p>
      <w:pPr>
        <w:pStyle w:val="Corps"/>
      </w:pPr>
      <w:r>
        <w:t xml:space="preserve">Le fondement n'étant pas indiqué dans l'acte introductif, la durée caractérisant l'altération définitive sera appréciée au jour du prononcé. [Calcul de la durée] expose le point de départ, les interruptions éventuelles, la durée déjà écoulée et les pièces permettant au juge d'en contrôler la continuité à cette date.</w:t>
      </w:r>
    </w:p>
    <w:p>
      <w:pPr>
        <w:pStyle w:val="Intertitre"/>
      </w:pPr>
      <w:r>
        <w:t xml:space="preserve">DISCUSSION AU FOND</w:t>
      </w:r>
    </w:p>
    <w:p>
      <w:pPr>
        <w:pStyle w:val="Corps"/>
      </w:pPr>
      <w:r>
        <w:t xml:space="preserve">Les demandes définitives sont exposées selon le fondement indiqué dans l'assignation ou réservé pour les premières conclusions au fond. Elles reposent uniquement sur les faits et pièces communiqués, distinguent le prononcé du divorce de ses effets et reprennent chaque prétention dans le dispositif.</w:t>
      </w:r>
    </w:p>
    <w:p>
      <w:pPr>
        <w:pStyle w:val="Intertitre"/>
      </w:pPr>
      <w:r>
        <w:t xml:space="preserve">PROPOSITION DE RÈGLEMENT PATRIMONIAL</w:t>
      </w:r>
    </w:p>
    <w:p>
      <w:pPr>
        <w:pStyle w:val="Corps"/>
      </w:pPr>
      <w:r>
        <w:t xml:space="preserve">La proposition de règlement des intérêts pécuniaires et patrimoniaux est exposée dans [Proposition de règlement patrimonial]. Elle identifie les principaux actifs, passifs, droits, créances et opérations envisagées sans se substituer à la liquidation définitive.</w:t>
      </w:r>
    </w:p>
    <w:p>
      <w:pPr>
        <w:pStyle w:val="Intertitre"/>
      </w:pPr>
      <w:r>
        <w:t xml:space="preserve">Clause optionnelle : ACTIF ET PASSIF</w:t>
      </w:r>
    </w:p>
    <w:p>
      <w:pPr>
        <w:pStyle w:val="Corps"/>
      </w:pPr>
      <w:r>
        <w:t xml:space="preserve">L'actif et le passif connus des époux sont recensés dans [Inventaire patrimonial]. Pour chaque élément sont indiqués le titre, la valeur vérifiée ou à vérifier, la dette associée, les garanties et les pièces disponibles.</w:t>
      </w:r>
    </w:p>
    <w:p>
      <w:pPr>
        <w:pStyle w:val="Intertitre"/>
      </w:pPr>
      <w:r>
        <w:t xml:space="preserve">Clause optionnelle : BIENS IMMOBILIERS</w:t>
      </w:r>
    </w:p>
    <w:p>
      <w:pPr>
        <w:pStyle w:val="Corps"/>
      </w:pPr>
      <w:r>
        <w:t xml:space="preserve">Les immeubles et leur sort proposé sont décrits dans [Biens immobiliers]. La désignation, le titre, le financement, l'occupation, la valeur, les dettes et la nécessité éventuelle d'un acte notarié sont distingués.</w:t>
      </w:r>
    </w:p>
    <w:p>
      <w:pPr>
        <w:pStyle w:val="Intertitre"/>
      </w:pPr>
      <w:r>
        <w:t xml:space="preserve">Clause optionnelle : ENTREPRISES ET DROITS SOCIAUX</w:t>
      </w:r>
    </w:p>
    <w:p>
      <w:pPr>
        <w:pStyle w:val="Corps"/>
      </w:pPr>
      <w:r>
        <w:t xml:space="preserve">Les entreprises, participations et droits professionnels sont exposés dans [Entreprises et droits sociaux]. Pour chacun sont distingués le titre, la date d'acquisition, le financement, la valorisation, les revenus, les dettes, les restrictions de cession, les garanties et le sort proposé lors de la liquidation.</w:t>
      </w:r>
    </w:p>
    <w:p>
      <w:pPr>
        <w:pStyle w:val="Intertitre"/>
      </w:pPr>
      <w:r>
        <w:t xml:space="preserve">PAR CES MOTIFS</w:t>
      </w:r>
    </w:p>
    <w:p>
      <w:pPr>
        <w:pStyle w:val="Corps"/>
      </w:pPr>
      <w:r>
        <w:t xml:space="preserve">Par ces motifs, il est demandé au juge aux affaires familiales de prononcer le divorce et de statuer sur les mesures, conséquences et frais ci-après, dans les limites des faits, pièces et vérifications exposés.</w:t>
      </w:r>
    </w:p>
    <w:p>
      <w:pPr>
        <w:pStyle w:val="Intertitre"/>
      </w:pPr>
      <w:r>
        <w:t xml:space="preserve"> — choisir une seule variante</w:t>
      </w:r>
    </w:p>
    <w:p>
      <w:pPr>
        <w:pStyle w:val="Variante"/>
      </w:pPr>
      <w:r>
        <w:t xml:space="preserve">Variante : AUCUNE DEMANDE RELATIVE À UN ENFANT MINEUR</w:t>
      </w:r>
    </w:p>
    <w:p>
      <w:pPr>
        <w:pStyle w:val="Corps"/>
      </w:pPr>
      <w:r>
        <w:t xml:space="preserve">Aucun enfant mineur commun n'appelle de mesure d'autorité parentale dans le présent dispositif. Les enfants majeurs éventuellement mentionnés restent pris en compte pour les conséquences financières pertinentes, sans créer de demande de résidence ou de droit d'accueil devenue sans objet.</w:t>
      </w:r>
    </w:p>
    <w:p>
      <w:pPr>
        <w:pStyle w:val="Intertitre"/>
      </w:pPr>
      <w:r>
        <w:t xml:space="preserve">Clause optionnelle : RÉSIDENCES SÉPARÉES</w:t>
      </w:r>
    </w:p>
    <w:p>
      <w:pPr>
        <w:pStyle w:val="Corps"/>
      </w:pPr>
      <w:r>
        <w:t xml:space="preserve">Il est demandé d'autoriser ou de constater les résidences séparées selon [Résidences séparées provisoires]. Les adresses, la date d'effet et l'incidence sur le logement familial sont précisées sans préjuger du règlement patrimonial définitif.</w:t>
      </w:r>
    </w:p>
    <w:p>
      <w:pPr>
        <w:pStyle w:val="Intertitre"/>
      </w:pPr>
      <w:r>
        <w:t xml:space="preserve"> — choisir une seule variante</w:t>
      </w:r>
    </w:p>
    <w:p>
      <w:pPr>
        <w:pStyle w:val="Variante"/>
      </w:pPr>
      <w:r>
        <w:t xml:space="preserve">Variante : AUCUNE ATTRIBUTION PROVISOIRE DU LOGEMENT</w:t>
      </w:r>
    </w:p>
    <w:p>
      <w:pPr>
        <w:pStyle w:val="Corps"/>
      </w:pPr>
      <w:r>
        <w:t xml:space="preserve">Aucune attribution particulière de la jouissance du logement familial n'est sollicitée. Ce choix est distinct d'une demande relative aux résidences séparées et ne préjuge ni des droits locatifs ou réels des époux, ni des comptes qui seront établis lors de la liquidation.</w:t>
      </w:r>
    </w:p>
    <w:p>
      <w:pPr>
        <w:pStyle w:val="Variante"/>
      </w:pPr>
      <w:r>
        <w:t xml:space="preserve">Variante : JOUISSANCE PROVISOIRE AU DEMANDEUR</w:t>
      </w:r>
    </w:p>
    <w:p>
      <w:pPr>
        <w:pStyle w:val="Corps"/>
      </w:pPr>
      <w:r>
        <w:t xml:space="preserve">Il est demandé d'attribuer provisoirement au demandeur la jouissance de [Logement familial] selon [Occupation provisoire du logement]. Le caractère gratuit ou onéreux de l'occupation, l'indemnité éventuelle, les échéances d'emprunt, les charges, les assurances, les clés et la remise des meubles sont précisés.</w:t>
      </w:r>
    </w:p>
    <w:p>
      <w:pPr>
        <w:pStyle w:val="Variante"/>
      </w:pPr>
      <w:r>
        <w:t xml:space="preserve">Variante : JOUISSANCE PROVISOIRE AU DÉFENDEUR</w:t>
      </w:r>
    </w:p>
    <w:p>
      <w:pPr>
        <w:pStyle w:val="Corps"/>
      </w:pPr>
      <w:r>
        <w:t xml:space="preserve">Il est demandé de laisser provisoirement au défendeur la jouissance de [Logement familial] dans les conditions de [Occupation provisoire du logement]. La date d'effet, la contrepartie éventuelle, le règlement du loyer ou du crédit, les dépenses courantes et la récupération des effets de l'autre époux sont organisés.</w:t>
      </w:r>
    </w:p>
    <w:p>
      <w:pPr>
        <w:pStyle w:val="Variante"/>
      </w:pPr>
      <w:r>
        <w:t xml:space="preserve">Variante : GESTION PROVISOIRE EN INDIVISION</w:t>
      </w:r>
    </w:p>
    <w:p>
      <w:pPr>
        <w:pStyle w:val="Corps"/>
      </w:pPr>
      <w:r>
        <w:t xml:space="preserve">L'occupation et la gestion provisoires de [Logement familial] sont organisées par [Occupation provisoire du logement]. La jouissance de chacun, l'indemnité d'occupation éventuelle, les dépenses de conservation, les assurances, l'accès au bien et les décisions urgentes sont distingués du partage définitif.</w:t>
      </w:r>
    </w:p>
    <w:p>
      <w:pPr>
        <w:pStyle w:val="Variante"/>
      </w:pPr>
      <w:r>
        <w:t xml:space="preserve">Variante : ATTRIBUTION PROVISOIRE DU BAIL</w:t>
      </w:r>
    </w:p>
    <w:p>
      <w:pPr>
        <w:pStyle w:val="Corps"/>
      </w:pPr>
      <w:r>
        <w:t xml:space="preserve">Il est demandé d'attribuer provisoirement les droits locatifs relatifs au logement familial selon [Occupation provisoire du logement]. Le paiement du loyer, des charges, du dépôt et les démarches envers le bailleur sont précisément répartis.</w:t>
      </w:r>
    </w:p>
    <w:p>
      <w:pPr>
        <w:pStyle w:val="Intertitre"/>
      </w:pPr>
      <w:r>
        <w:t xml:space="preserve">Clause optionnelle : EFFETS PERSONNELS</w:t>
      </w:r>
    </w:p>
    <w:p>
      <w:pPr>
        <w:pStyle w:val="Corps"/>
      </w:pPr>
      <w:r>
        <w:t xml:space="preserve">La remise des vêtements, documents, objets personnels et biens nécessaires est organisée selon [Effets personnels]. Les modalités d'accès, d'inventaire, de transport et le calendrier évitent toute confusion avec le partage définitif.</w:t>
      </w:r>
    </w:p>
    <w:p>
      <w:pPr>
        <w:pStyle w:val="Intertitre"/>
      </w:pPr>
      <w:r>
        <w:t xml:space="preserve">Clause optionnelle : DETTES ET CHARGES</w:t>
      </w:r>
    </w:p>
    <w:p>
      <w:pPr>
        <w:pStyle w:val="Corps"/>
      </w:pPr>
      <w:r>
        <w:t xml:space="preserve">La prise en charge provisoire des prêts, loyers, impôts, assurances et charges est demandée selon [Dettes et charges provisoires]. Cette répartition est présentée sans préjuger des comptes entre époux lors de la liquidation.</w:t>
      </w:r>
    </w:p>
    <w:p>
      <w:pPr>
        <w:pStyle w:val="Intertitre"/>
      </w:pPr>
      <w:r>
        <w:t xml:space="preserve"> — choisir une seule variante</w:t>
      </w:r>
    </w:p>
    <w:p>
      <w:pPr>
        <w:pStyle w:val="Variante"/>
      </w:pPr>
      <w:r>
        <w:t xml:space="preserve">Variante : AUCUN DEVOIR DE SECOURS CHIFFRÉ</w:t>
      </w:r>
    </w:p>
    <w:p>
      <w:pPr>
        <w:pStyle w:val="Corps"/>
      </w:pPr>
      <w:r>
        <w:t xml:space="preserve">Aucune pension entre époux n'est demandée au titre du devoir de secours. Cette position résulte des ressources, charges et conditions de vie communiquées ; elle ne concerne ni la contribution à l'entretien des enfants ni une éventuelle prestation compensatoire au fond.</w:t>
      </w:r>
    </w:p>
    <w:p>
      <w:pPr>
        <w:pStyle w:val="Variante"/>
      </w:pPr>
      <w:r>
        <w:t xml:space="preserve">Variante : DEVOIR DE SECOURS AU DEMANDEUR</w:t>
      </w:r>
    </w:p>
    <w:p>
      <w:pPr>
        <w:pStyle w:val="Corps"/>
      </w:pPr>
      <w:r>
        <w:t xml:space="preserve">Il est demandé de condamner le défendeur à verser au demandeur [Devoir de secours] au titre du devoir de secours, suivant [Modalités du devoir de secours]. Le besoin du bénéficiaire, les facultés contributives du débiteur, les avantages en nature, l'indexation et le point de départ sollicité sont exposés séparément.</w:t>
      </w:r>
    </w:p>
    <w:p>
      <w:pPr>
        <w:pStyle w:val="Variante"/>
      </w:pPr>
      <w:r>
        <w:t xml:space="preserve">Variante : DEVOIR DE SECOURS AU DÉFENDEUR</w:t>
      </w:r>
    </w:p>
    <w:p>
      <w:pPr>
        <w:pStyle w:val="Corps"/>
      </w:pPr>
      <w:r>
        <w:t xml:space="preserve">Il est demandé de mettre à la charge du demandeur le secours dû au défendeur, pour [Devoir de secours] et selon [Modalités du devoir de secours]. Les revenus disponibles, dépenses incompressibles, conditions de logement, périodicité du versement et événements susceptibles d'en modifier le service sont précisément documentés.</w:t>
      </w:r>
    </w:p>
    <w:p>
      <w:pPr>
        <w:pStyle w:val="Intertitre"/>
      </w:pPr>
      <w:r>
        <w:t xml:space="preserve">Clause optionnelle : PROVISION POUR FRAIS</w:t>
      </w:r>
    </w:p>
    <w:p>
      <w:pPr>
        <w:pStyle w:val="Corps"/>
      </w:pPr>
      <w:r>
        <w:t xml:space="preserve">Il est demandé d'allouer la provision pour frais d'instance décrite dans [Provision et frais d'instance]. Son montant, son objet, son bénéficiaire et les éléments établissant la nécessité de cette avance sont expressément indiqués.</w:t>
      </w:r>
    </w:p>
    <w:p>
      <w:pPr>
        <w:pStyle w:val="Intertitre"/>
      </w:pPr>
      <w:r>
        <w:t xml:space="preserve">Clause optionnelle : NOTAIRE OU PROFESSIONNEL QUALIFIÉ</w:t>
      </w:r>
    </w:p>
    <w:p>
      <w:pPr>
        <w:pStyle w:val="Corps"/>
      </w:pPr>
      <w:r>
        <w:t xml:space="preserve">Il est demandé de désigner un notaire ou un professionnel qualifié avec la mission définie dans [Notaire ou professionnel qualifié]. Les biens concernés, documents à réunir, opérations attendues et limites de la mission sont détaillés.</w:t>
      </w:r>
    </w:p>
    <w:p>
      <w:pPr>
        <w:pStyle w:val="Intertitre"/>
      </w:pPr>
      <w:r>
        <w:t xml:space="preserve">Clause optionnelle : MÉDIATION OU MESURE FAMILIALE</w:t>
      </w:r>
    </w:p>
    <w:p>
      <w:pPr>
        <w:pStyle w:val="Corps"/>
      </w:pPr>
      <w:r>
        <w:t xml:space="preserve">La médiation ou la mesure familiale sollicitée est décrite dans [Médiation ou mesure familiale]. Son objet, l'accord ou la position des parties, les exclusions tenant aux risques identifiés et ses modalités pratiques sont exposés.</w:t>
      </w:r>
    </w:p>
    <w:p>
      <w:pPr>
        <w:pStyle w:val="Intertitre"/>
      </w:pPr>
      <w:r>
        <w:t xml:space="preserve"> — choisir une seule variante</w:t>
      </w:r>
    </w:p>
    <w:p>
      <w:pPr>
        <w:pStyle w:val="Variante"/>
      </w:pPr>
      <w:r>
        <w:t xml:space="preserve">Variante : AUTORITÉ PARENTALE CONJOINTE</w:t>
      </w:r>
    </w:p>
    <w:p>
      <w:pPr>
        <w:pStyle w:val="Corps"/>
      </w:pPr>
      <w:r>
        <w:t xml:space="preserve">Il est demandé de maintenir l'exercice conjoint de l'autorité parentale selon [Autorité parentale]. Les décisions importantes relatives à la santé, la scolarité, l'orientation, les déplacements et les activités, ainsi que l'information réciproque et la transmission des documents, sont organisées dans l'intérêt des enfants.</w:t>
      </w:r>
    </w:p>
    <w:p>
      <w:pPr>
        <w:pStyle w:val="Variante"/>
      </w:pPr>
      <w:r>
        <w:t xml:space="preserve">Variante : EXERCICE SPÉCIAL DE L'AUTORITÉ PARENTALE</w:t>
      </w:r>
    </w:p>
    <w:p>
      <w:pPr>
        <w:pStyle w:val="Corps"/>
      </w:pPr>
      <w:r>
        <w:t xml:space="preserve">Il est demandé de fixer un exercice particulier de l'autorité parentale selon [Autorité parentale]. Les motifs, les actes concernés, le droit d'information de l'autre parent et les garanties nécessaires sont individualisés.</w:t>
      </w:r>
    </w:p>
    <w:p>
      <w:pPr>
        <w:pStyle w:val="Intertitre"/>
      </w:pPr>
      <w:r>
        <w:t xml:space="preserve"> — choisir une seule variante</w:t>
      </w:r>
    </w:p>
    <w:p>
      <w:pPr>
        <w:pStyle w:val="Variante"/>
      </w:pPr>
      <w:r>
        <w:t xml:space="preserve">Variante : RÉSIDENCE DES ENFANTS NON APPLICABLE</w:t>
      </w:r>
    </w:p>
    <w:p>
      <w:pPr>
        <w:pStyle w:val="Corps"/>
      </w:pPr>
      <w:r>
        <w:t xml:space="preserve">Aucune résidence de mineur n'est à fixer dans cette branche. Cette réponse est réservée à l'absence d'enfant mineur concerné et ne peut accompagner une demande d'autorité parentale, de droit d'accueil ou de calendrier de remise portant sur un enfant mineur.</w:t>
      </w:r>
    </w:p>
    <w:p>
      <w:pPr>
        <w:pStyle w:val="Variante"/>
      </w:pPr>
      <w:r>
        <w:t xml:space="preserve">Variante : RÉSIDENCE CHEZ LE DEMANDEUR</w:t>
      </w:r>
    </w:p>
    <w:p>
      <w:pPr>
        <w:pStyle w:val="Corps"/>
      </w:pPr>
      <w:r>
        <w:t xml:space="preserve">Il est demandé de fixer la résidence habituelle des enfants à [Résidence des enfants] auprès du demandeur. Les relations avec l'autre parent sont organisées par [Droit de visite et d'hébergement], qui précise les périodes ordinaires, vacances, jours fériés, transports, heures et lieux de remise.</w:t>
      </w:r>
    </w:p>
    <w:p>
      <w:pPr>
        <w:pStyle w:val="Variante"/>
      </w:pPr>
      <w:r>
        <w:t xml:space="preserve">Variante : RÉSIDENCE CHEZ LE DÉFENDEUR</w:t>
      </w:r>
    </w:p>
    <w:p>
      <w:pPr>
        <w:pStyle w:val="Corps"/>
      </w:pPr>
      <w:r>
        <w:t xml:space="preserve">Il est demandé d'établir chez le défendeur, à [Résidence des enfants], la résidence habituelle des enfants. Le droit d'accueil du demandeur est détaillé dans [Droit de visite et d'hébergement], avec alternance des congés, modalités de trajet, communications à distance et traitement des empêchements.</w:t>
      </w:r>
    </w:p>
    <w:p>
      <w:pPr>
        <w:pStyle w:val="Variante"/>
      </w:pPr>
      <w:r>
        <w:t xml:space="preserve">Variante : RÉSIDENCE ALTERNÉE</w:t>
      </w:r>
    </w:p>
    <w:p>
      <w:pPr>
        <w:pStyle w:val="Corps"/>
      </w:pPr>
      <w:r>
        <w:t xml:space="preserve">Il est demandé de fixer une résidence alternée selon [Calendrier alterné]. Le rythme, les transitions, les vacances, les jours fériés, les remises et les adaptations nécessaires sont définis de manière exécutable.</w:t>
      </w:r>
    </w:p>
    <w:p>
      <w:pPr>
        <w:pStyle w:val="Intertitre"/>
      </w:pPr>
      <w:r>
        <w:t xml:space="preserve">Clause optionnelle : TRANSPORT, SCOLARITÉ ET SANTÉ</w:t>
      </w:r>
    </w:p>
    <w:p>
      <w:pPr>
        <w:pStyle w:val="Corps"/>
      </w:pPr>
      <w:r>
        <w:t xml:space="preserve">Les transports et remises des enfants sont organisés selon [Transport des enfants], avec lieux, horaires, accompagnateurs, coûts et conduite à tenir en cas d'empêchement. Les décisions, informations et transmissions relatives à leur scolarité et à leur santé suivent [Scolarité et santé].</w:t>
      </w:r>
    </w:p>
    <w:p>
      <w:pPr>
        <w:pStyle w:val="Intertitre"/>
      </w:pPr>
      <w:r>
        <w:t xml:space="preserve"> — choisir une seule variante</w:t>
      </w:r>
    </w:p>
    <w:p>
      <w:pPr>
        <w:pStyle w:val="Variante"/>
      </w:pPr>
      <w:r>
        <w:t xml:space="preserve">Variante : CONTRIBUTION POUR ENFANT NON APPLICABLE</w:t>
      </w:r>
    </w:p>
    <w:p>
      <w:pPr>
        <w:pStyle w:val="Corps"/>
      </w:pPr>
      <w:r>
        <w:t xml:space="preserve">Aucune contribution d'entretien et d'éducation d'un enfant mineur n'est à fixer dans cette branche. Ce choix correspond à l'absence de mineur concerné et se distingue d'une demande motivée tendant à ne fixer aucune pension malgré la présence d'enfants.</w:t>
      </w:r>
    </w:p>
    <w:p>
      <w:pPr>
        <w:pStyle w:val="Variante"/>
      </w:pPr>
      <w:r>
        <w:t xml:space="preserve">Variante : ABSENCE DE PENSION DISTINCTE</w:t>
      </w:r>
    </w:p>
    <w:p>
      <w:pPr>
        <w:pStyle w:val="Corps"/>
      </w:pPr>
      <w:r>
        <w:t xml:space="preserve">Il est demandé de ne fixer aucune pension distincte après examen des ressources, des charges, de la résidence et de la prise en charge directe retenue. Les motifs de cette demande demeurent documentés au dossier.</w:t>
      </w:r>
    </w:p>
    <w:p>
      <w:pPr>
        <w:pStyle w:val="Variante"/>
      </w:pPr>
      <w:r>
        <w:t xml:space="preserve">Variante : CONTRIBUTION DU DEMANDEUR</w:t>
      </w:r>
    </w:p>
    <w:p>
      <w:pPr>
        <w:pStyle w:val="Corps"/>
      </w:pPr>
      <w:r>
        <w:t xml:space="preserve">Il est demandé de fixer à la charge du demandeur une contribution de [Contribution à l'entretien] selon [Paiement de la contribution]. Les ressources et charges des parents, les besoins des enfants, la résidence, la prise en charge directe, la date d'effet, l'indexation et la durée sont justifiés.</w:t>
      </w:r>
    </w:p>
    <w:p>
      <w:pPr>
        <w:pStyle w:val="Variante"/>
      </w:pPr>
      <w:r>
        <w:t xml:space="preserve">Variante : CONTRIBUTION DU DÉFENDEUR</w:t>
      </w:r>
    </w:p>
    <w:p>
      <w:pPr>
        <w:pStyle w:val="Corps"/>
      </w:pPr>
      <w:r>
        <w:t xml:space="preserve">Il est demandé de condamner le défendeur à verser la contribution de [Contribution à l'entretien] dans les conditions de [Paiement de la contribution]. Le calcul expose les facultés contributives, les besoins actuels, les frais directement supportés, la périodicité, l'indexation et les événements mettant fin au versement.</w:t>
      </w:r>
    </w:p>
    <w:p>
      <w:pPr>
        <w:pStyle w:val="Variante"/>
      </w:pPr>
      <w:r>
        <w:t xml:space="preserve">Variante : PARTAGE DIRECT DES FRAIS</w:t>
      </w:r>
    </w:p>
    <w:p>
      <w:pPr>
        <w:pStyle w:val="Corps"/>
      </w:pPr>
      <w:r>
        <w:t xml:space="preserve">Il est demandé d'organiser la prise en charge directe des frais selon [Partage direct des frais]. Les dépenses ordinaires et extraordinaires sont séparées, les proportions sont fixées, et la clause précise l'accord préalable, les justificatifs, le délai de remboursement et la résolution des désaccords.</w:t>
      </w:r>
    </w:p>
    <w:p>
      <w:pPr>
        <w:pStyle w:val="Intertitre"/>
      </w:pPr>
      <w:r>
        <w:t xml:space="preserve">Clause optionnelle : FRAIS EXCEPTIONNELS</w:t>
      </w:r>
    </w:p>
    <w:p>
      <w:pPr>
        <w:pStyle w:val="Corps"/>
      </w:pPr>
      <w:r>
        <w:t xml:space="preserve">Les frais exceptionnels des enfants sont répartis selon [Frais exceptionnels]. La clause définit limitativement ou par critères les dépenses concernées, leur nécessité, la procédure d'accord préalable hors urgence, les justificatifs exigés, la proportion due par chacun et le délai de remboursement.</w:t>
      </w:r>
    </w:p>
    <w:p>
      <w:pPr>
        <w:pStyle w:val="Intertitre"/>
      </w:pPr>
      <w:r>
        <w:t xml:space="preserve">Clause optionnelle : INTERMÉDIATION FINANCIÈRE</w:t>
      </w:r>
    </w:p>
    <w:p>
      <w:pPr>
        <w:pStyle w:val="Corps"/>
      </w:pPr>
      <w:r>
        <w:t xml:space="preserve">Il est demandé de statuer sur l'intermédiation financière selon [Intermédiation financière]. Le dispositif identifie la contribution périodique concernée, son débiteur, son créancier, son montant, sa date d'effet et l'organisme compétent, ou expose le motif légal vérifié justifiant de ne pas l'ordonner.</w:t>
      </w:r>
    </w:p>
    <w:p>
      <w:pPr>
        <w:pStyle w:val="Intertitre"/>
      </w:pPr>
      <w:r>
        <w:t xml:space="preserve">PRONONCÉ SUR L'ALTÉRATION DÉFINITIVE</w:t>
      </w:r>
    </w:p>
    <w:p>
      <w:pPr>
        <w:pStyle w:val="Corps"/>
      </w:pPr>
      <w:r>
        <w:t xml:space="preserve">Il est demandé de prononcer le divorce pour altération définitive du lien conjugal selon [Demande de prononcé du divorce]. La demande est articulée avec la cessation de communauté de vie, la route de durée et les preuves exposées.</w:t>
      </w:r>
    </w:p>
    <w:p>
      <w:pPr>
        <w:pStyle w:val="Intertitre"/>
      </w:pPr>
      <w:r>
        <w:t xml:space="preserve">DATE DES EFFETS</w:t>
      </w:r>
    </w:p>
    <w:p>
      <w:pPr>
        <w:pStyle w:val="Corps"/>
      </w:pPr>
      <w:r>
        <w:t xml:space="preserve">Il est demandé de fixer les effets personnels et patrimoniaux du divorce selon [Date des effets du divorce]. La date sollicitée, son fondement, son périmètre et ses conséquences sont expressément distingués du prononcé lui-même.</w:t>
      </w:r>
    </w:p>
    <w:p>
      <w:pPr>
        <w:pStyle w:val="Intertitre"/>
      </w:pPr>
      <w:r>
        <w:t xml:space="preserve">NOM D'USAGE</w:t>
      </w:r>
    </w:p>
    <w:p>
      <w:pPr>
        <w:pStyle w:val="Corps"/>
      </w:pPr>
      <w:r>
        <w:t xml:space="preserve">Il est demandé de statuer sur l'usage du nom de l'autre époux selon [Nom d'usage]. La perte de l'usage, son maintien par accord ou l'autorisation sollicitée sont formulés sans présumer d'un droit non vérifié.</w:t>
      </w:r>
    </w:p>
    <w:p>
      <w:pPr>
        <w:pStyle w:val="Intertitre"/>
      </w:pPr>
      <w:r>
        <w:t xml:space="preserve"> — choisir une seule variante</w:t>
      </w:r>
    </w:p>
    <w:p>
      <w:pPr>
        <w:pStyle w:val="Variante"/>
      </w:pPr>
      <w:r>
        <w:t xml:space="preserve">Variante : AUCUNE PRESTATION COMPENSATOIRE DEMANDÉE</w:t>
      </w:r>
    </w:p>
    <w:p>
      <w:pPr>
        <w:pStyle w:val="Corps"/>
      </w:pPr>
      <w:r>
        <w:t xml:space="preserve">Aucune prestation compensatoire n'est sollicitée par le demandeur dans les présentes écritures. Ce choix est distingué d'une simple réserve et repose sur les informations patrimoniales disponibles ; il n'affirme pas que l'autre époux renonce à une prétention qui lui appartient.</w:t>
      </w:r>
    </w:p>
    <w:p>
      <w:pPr>
        <w:pStyle w:val="Variante"/>
      </w:pPr>
      <w:r>
        <w:t xml:space="preserve">Variante : PRESTATION COMPENSATOIRE RÉSERVÉE</w:t>
      </w:r>
    </w:p>
    <w:p>
      <w:pPr>
        <w:pStyle w:val="Corps"/>
      </w:pPr>
      <w:r>
        <w:t xml:space="preserve">La demande de prestation compensatoire est réservée jusqu'à la communication contradictoire des informations énumérées dans [Ressources et patrimoines]. Aucun droit, montant, mode de paiement ou durée n'est présenté comme acquis ; les premières conclusions utiles devront appliquer les critères légaux aux données patrimoniales effectivement établies.</w:t>
      </w:r>
    </w:p>
    <w:p>
      <w:pPr>
        <w:pStyle w:val="Variante"/>
      </w:pPr>
      <w:r>
        <w:t xml:space="preserve">Variante : PRESTATION EN CAPITAL</w:t>
      </w:r>
    </w:p>
    <w:p>
      <w:pPr>
        <w:pStyle w:val="Corps"/>
      </w:pPr>
      <w:r>
        <w:t xml:space="preserve">Il est demandé de fixer une prestation compensatoire en capital de [Montant de la prestation compensatoire] selon [Modalités de la prestation compensatoire]. Le montant est motivé par la disparité créée par la rupture et les critères légaux vérifiés ; la date de paiement, les garanties, les intérêts et les modalités d'exécution sont précisés.</w:t>
      </w:r>
    </w:p>
    <w:p>
      <w:pPr>
        <w:pStyle w:val="Variante"/>
      </w:pPr>
      <w:r>
        <w:t xml:space="preserve">Variante : CAPITAL ÉCHELONNÉ</w:t>
      </w:r>
    </w:p>
    <w:p>
      <w:pPr>
        <w:pStyle w:val="Corps"/>
      </w:pPr>
      <w:r>
        <w:t xml:space="preserve">Il est demandé de fixer un capital échelonné selon [Modalités de la prestation compensatoire]. Le dispositif précise le montant total, le nombre et la date de chaque échéance, la durée maximale sollicitée, l'indexation éventuelle, les sûretés, l'exigibilité anticipée et les circonstances particulières justifiant ce paiement fractionné.</w:t>
      </w:r>
    </w:p>
    <w:p>
      <w:pPr>
        <w:pStyle w:val="Variante"/>
      </w:pPr>
      <w:r>
        <w:t xml:space="preserve">Variante : ATTRIBUTION EN PROPRIÉTÉ</w:t>
      </w:r>
    </w:p>
    <w:p>
      <w:pPr>
        <w:pStyle w:val="Corps"/>
      </w:pPr>
      <w:r>
        <w:t xml:space="preserve">Il est demandé de fixer la prestation compensatoire par attribution d'un bien ou d'un droit selon [Modalités de la prestation compensatoire]. Le bien, sa valeur, le titre, les charges, le consentement requis et les formalités sont vérifiés.</w:t>
      </w:r>
    </w:p>
    <w:p>
      <w:pPr>
        <w:pStyle w:val="Variante"/>
      </w:pPr>
      <w:r>
        <w:t xml:space="preserve">Variante : RENTE EXCEPTIONNELLE</w:t>
      </w:r>
    </w:p>
    <w:p>
      <w:pPr>
        <w:pStyle w:val="Corps"/>
      </w:pPr>
      <w:r>
        <w:t xml:space="preserve">Il est demandé de fixer exceptionnellement une prestation compensatoire sous forme de rente selon [Modalités de la prestation compensatoire]. L'âge ou l'état de santé empêchant le bénéficiaire de subvenir à ses besoins est spécialement établi, puis le montant, l'indexation, les garanties et les causes de révision sont formulés.</w:t>
      </w:r>
    </w:p>
    <w:p>
      <w:pPr>
        <w:pStyle w:val="Intertitre"/>
      </w:pPr>
      <w:r>
        <w:t xml:space="preserve">Clause optionnelle : ARTICLE 700</w:t>
      </w:r>
    </w:p>
    <w:p>
      <w:pPr>
        <w:pStyle w:val="Corps"/>
      </w:pPr>
      <w:r>
        <w:t xml:space="preserve">Il est demandé de condamner le défendeur à payer [Demande au titre de l'article 700] au titre des frais non compris dans les dépens. Le montant est individualisé et rapproché des frais réellement exposés et de l'équité invoquée.</w:t>
      </w:r>
    </w:p>
    <w:p>
      <w:pPr>
        <w:pStyle w:val="Intertitre"/>
      </w:pPr>
      <w:r>
        <w:t xml:space="preserve">Clause optionnelle : DÉPENS</w:t>
      </w:r>
    </w:p>
    <w:p>
      <w:pPr>
        <w:pStyle w:val="Corps"/>
      </w:pPr>
      <w:r>
        <w:t xml:space="preserve">Il est demandé de statuer sur les dépens selon [Dépens]. La formulation distingue les dépens des frais irrépétibles et reste cohérente avec l'ensemble des demandes et la situation procédurale exposée.</w:t>
      </w:r>
    </w:p>
    <w:p>
      <w:pPr>
        <w:pStyle w:val="Intertitre"/>
      </w:pPr>
      <w:r>
        <w:t xml:space="preserve">BORDEREAU DE PIÈCES</w:t>
      </w:r>
    </w:p>
    <w:p>
      <w:pPr>
        <w:pStyle w:val="Corps"/>
      </w:pPr>
      <w:r>
        <w:t xml:space="preserve">Le bordereau [Bordereau de pièces] énumère et numérote toutes les pièces invoquées, notamment l'état civil, la procédure, la séparation, les ressources, les enfants et le patrimoine. Chaque renvoi du corps de l'acte doit lui correspondre.</w:t>
      </w:r>
    </w:p>
    <w:p>
      <w:pPr>
        <w:pStyle w:val="Intertitre"/>
      </w:pPr>
      <w:r>
        <w:t xml:space="preserve">Clause optionnelle : SOUS TOUTES RÉSERVES</w:t>
      </w:r>
    </w:p>
    <w:p>
      <w:pPr>
        <w:pStyle w:val="Corps"/>
      </w:pPr>
      <w:r>
        <w:t xml:space="preserve">Sous toutes réserves expressément maintenues. Le juge n'est saisi que des mesures et prétentions formulées dans le dispositif et soutenues par les faits, moyens et pièces du présent acte. Cette formule de clôture ne complète ni n'élargit une demande qui aurait dû être énoncée distinctement.</w:t>
      </w:r>
    </w:p>
    <w:p>
      <w:pPr>
        <w:pStyle w:val="Intertitre"/>
      </w:pPr>
      <w:r>
        <w:t xml:space="preserve">Clause optionnelle : SIGNATURE DE L'AVOCAT</w:t>
      </w:r>
    </w:p>
    <w:p>
      <w:pPr>
        <w:pStyle w:val="Corps"/>
      </w:pPr>
      <w:r>
        <w:t xml:space="preserve">Avant signification, l'acte arrêté porte la signature vérifiée de [Signature de l'avocat]. Cette signature atteste la version remise au commissaire de justice sans tenir lieu de preuve de signification ou de placement.</w:t>
      </w:r>
    </w:p>
    <w:p>
      <w:pPr>
        <w:pStyle w:val="Intertitre"/>
      </w:pPr>
      <w:r>
        <w:t xml:space="preserve">Clause optionnelle : SIGNATURE DE L'AVOCAT</w:t>
      </w:r>
    </w:p>
    <w:p>
      <w:pPr>
        <w:pStyle w:val="Corps"/>
      </w:pPr>
      <w:r>
        <w:t xml:space="preserve">La version signifiée porte la signature vérifiée de [Signature de l'avocat]. Elle est rapprochée de la copie remise au commissaire de justice, de l'acte de signification et de son bordereau afin d'exclure toute divergence de contenu, de date ou de pièces entre les exemplaires.</w:t>
      </w:r>
    </w:p>
    <w:p>
      <w:pPr>
        <w:pStyle w:val="Intertitre"/>
      </w:pPr>
      <w:r>
        <w:t xml:space="preserve">Clause optionnelle : SIGNATURE DE L'AVOCAT</w:t>
      </w:r>
    </w:p>
    <w:p>
      <w:pPr>
        <w:pStyle w:val="Corps"/>
      </w:pPr>
      <w:r>
        <w:t xml:space="preserve">La version placée au greffe porte la signature vérifiée de [Signature de l'avocat]. Elle correspond à l'acte signifié, à la preuve de placement et au bordereau communiqué ; toute correction postérieure est identifiée comme une nouvelle version et soumise aux formalités contradictoires requises.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