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DE CONCUBINAGE</w:t>
      </w:r>
    </w:p>
    <w:p>
      <w:pPr>
        <w:pStyle w:val="Intertitre"/>
      </w:pPr>
      <w:r>
        <w:t xml:space="preserve">Premier concubin</w:t>
      </w:r>
    </w:p>
    <w:p>
      <w:pPr>
        <w:pStyle w:val="Corps"/>
      </w:pPr>
      <w:r>
        <w:t xml:space="preserve">La première partie à la convention est [Nom partie a], demeurant [Adresse partie a]. Son identité et, lorsqu'une représentation est nécessaire, sa qualité ou son pouvoir sont établis par [Preuve qualité partie a]. La désignation doit reproduire les pièces fournies sans présumer une adresse, un état civil, une propriété ou une capacité qui ne serait pas justifiée.</w:t>
      </w:r>
    </w:p>
    <w:p>
      <w:pPr>
        <w:pStyle w:val="Intertitre"/>
      </w:pPr>
      <w:r>
        <w:t xml:space="preserve">Second concubin</w:t>
      </w:r>
    </w:p>
    <w:p>
      <w:pPr>
        <w:pStyle w:val="Corps"/>
      </w:pPr>
      <w:r>
        <w:t xml:space="preserve">La seconde partie à la convention est [Nom partie b], demeurant [Adresse partie b]. Son identité et, lorsqu'une représentation est nécessaire, sa qualité ou son pouvoir sont établis par [Preuve qualité partie b]. La désignation doit reproduire les pièces fournies sans présumer une adresse, un état civil, une propriété ou une capacité qui ne serait pas justifiée.</w:t>
      </w:r>
    </w:p>
    <w:p>
      <w:pPr>
        <w:pStyle w:val="Intertitre"/>
      </w:pPr>
      <w:r>
        <w:t xml:space="preserve">Union de fait</w:t>
      </w:r>
    </w:p>
    <w:p>
      <w:pPr>
        <w:pStyle w:val="Corps"/>
      </w:pPr>
      <w:r>
        <w:t xml:space="preserve">Les parties déclarent mener une vie commune stable et continue depuis le [Date debut vie commune] et fixer leur résidence commune à [Residence commune]. Elles entendent organiser certains rapports matériels nés de cette vie commune. Cette convention ne constitue ni un mariage ni un pacte civil de solidarité et ne crée pas, par elle-même, de régime matrimonial, de vocation successorale ou d'obligation générale envers les tiers.</w:t>
      </w:r>
    </w:p>
    <w:p>
      <w:pPr>
        <w:pStyle w:val="Intertitre"/>
      </w:pPr>
      <w:r>
        <w:t xml:space="preserve">Objet et limites de la convention</w:t>
      </w:r>
    </w:p>
    <w:p>
      <w:pPr>
        <w:pStyle w:val="Corps"/>
      </w:pPr>
      <w:r>
        <w:t xml:space="preserve">La convention organise uniquement les relations patrimoniales et pratiques expressément décrites. Elle ne règle pas l'autorité parentale, la résidence ou l'entretien d'un enfant, ne vaut ni testament ni donation, ne transfère aucun immeuble et ne modifie aucun engagement envers un tiers. Toute opération exigeant un acte particulier, une publicité ou un consentement externe demeure soumise à cet acte et à cette vérification distincte.</w:t>
      </w:r>
    </w:p>
    <w:p>
      <w:pPr>
        <w:pStyle w:val="Intertitre"/>
      </w:pPr>
      <w:r>
        <w:t xml:space="preserve">Indépendance patrimoniale</w:t>
      </w:r>
    </w:p>
    <w:p>
      <w:pPr>
        <w:pStyle w:val="Corps"/>
      </w:pPr>
      <w:r>
        <w:t xml:space="preserve">Sous réserve des acquisitions expressément réalisées en indivision, chaque partie conserve la propriété, l'administration et la libre disposition de ses biens personnels. Ces biens sont décrits dans [Inventaires biens personnels] avec leurs justificatifs disponibles. Le paiement d'une dépense par une partie ne transfère pas automatiquement la propriété d'un bien à l'autre ; toute créance alléguée devra être établie par un écrit, un relevé ou une pièce concordante.</w:t>
      </w:r>
    </w:p>
    <w:p>
      <w:pPr>
        <w:pStyle w:val="Intertitre"/>
      </w:pPr>
      <w:r>
        <w:t xml:space="preserve">Preuve et tenue des comptes</w:t>
      </w:r>
    </w:p>
    <w:p>
      <w:pPr>
        <w:pStyle w:val="Corps"/>
      </w:pPr>
      <w:r>
        <w:t xml:space="preserve">Les remboursements, prêts, avances et créances allégués entre les parties sont documentés au moment de l'opération par leur objet, leur montant, leur date et leur mode de règlement. Les dépenses de vie courante ne sont pas requalifiées automatiquement. En cas d'écart entre un tableau interne et une pièce bancaire, fiscale, locative ou notariale, la divergence est signalée et résolue avant tout arrêté de compte.</w:t>
      </w:r>
    </w:p>
    <w:p>
      <w:pPr>
        <w:pStyle w:val="Intertitre"/>
      </w:pPr>
      <w:r>
        <w:t xml:space="preserve">Comment répartir les dépenses communes ? — choisir une seule variante</w:t>
      </w:r>
    </w:p>
    <w:p>
      <w:pPr>
        <w:pStyle w:val="Variante"/>
      </w:pPr>
      <w:r>
        <w:t xml:space="preserve">Variante : Partage égal des dépenses</w:t>
      </w:r>
    </w:p>
    <w:p>
      <w:pPr>
        <w:pStyle w:val="Corps"/>
      </w:pPr>
      <w:r>
        <w:t xml:space="preserve">Les dépenses courantes décidées comme communes sont supportées par moitié. Leur périmètre, leur échéance, le compte utilisé et la conservation des justificatifs suivent [Mecanisme paiement depenses]. Cette répartition règle les rapports entre les parties seulement : elle ne modifie ni le contrat conclu avec un fournisseur, un bailleur ou un prêteur, ni les recours que ce tiers tient de son propre engagement.</w:t>
      </w:r>
    </w:p>
    <w:p>
      <w:pPr>
        <w:pStyle w:val="Variante"/>
      </w:pPr>
      <w:r>
        <w:t xml:space="preserve">Variante : Partage proportionnel</w:t>
      </w:r>
    </w:p>
    <w:p>
      <w:pPr>
        <w:pStyle w:val="Corps"/>
      </w:pPr>
      <w:r>
        <w:t xml:space="preserve">Les dépenses courantes décidées comme communes sont réparties selon [Cle repartition depenses]. La clé est réexaminée suivant [modalités revision cle], notamment en cas d'évolution durable des ressources, du logement ou des charges convenues. Une modification ne vaut que pour l'avenir et après accord traçable ; elle ne transforme pas une contribution aux dépenses en droit de propriété sur le bien d'une autre partie.</w:t>
      </w:r>
    </w:p>
    <w:p>
      <w:pPr>
        <w:pStyle w:val="Intertitre"/>
      </w:pPr>
      <w:r>
        <w:t xml:space="preserve">Clause optionnelle : Compte commun</w:t>
      </w:r>
    </w:p>
    <w:p>
      <w:pPr>
        <w:pStyle w:val="Corps"/>
      </w:pPr>
      <w:r>
        <w:t xml:space="preserve">Le compte identifié par [référence compte commun] sert exclusivement aux opérations définies dans [Regles compte commun]. Les parties déterminent les versements, moyens de paiement, plafonds, justificatifs, consultations et conditions de clôture. Chacune conserve ses comptes personnels. Lors de la rupture, le solde et les opérations en cours sont arrêtés sur relevés, sans préjuger des droits de la banque ni de la titularité résultant du contrat de compte.</w:t>
      </w:r>
    </w:p>
    <w:p>
      <w:pPr>
        <w:pStyle w:val="Intertitre"/>
      </w:pPr>
      <w:r>
        <w:t xml:space="preserve">Quel est le statut du logement principal ? — choisir une seule variante</w:t>
      </w:r>
    </w:p>
    <w:p>
      <w:pPr>
        <w:pStyle w:val="Variante"/>
      </w:pPr>
      <w:r>
        <w:t xml:space="preserve">Variante : Logement loué</w:t>
      </w:r>
    </w:p>
    <w:p>
      <w:pPr>
        <w:pStyle w:val="Corps"/>
      </w:pPr>
      <w:r>
        <w:t xml:space="preserve">Le logement est occupé en vertu du bail identifié par [référence bail]. La qualité de titulaire, la solidarité éventuelle, le paiement du loyer et des charges, les dépôts, assurances, notifications et conséquences d'un départ suivent [Organisation bail et loyers] et le bail effectivement signé. La présente convention n'accorde pas à une partie un droit locatif que le bail ou la loi ne lui reconnaît pas et ne libère aucun signataire envers le bailleur.</w:t>
      </w:r>
    </w:p>
    <w:p>
      <w:pPr>
        <w:pStyle w:val="Variante"/>
      </w:pPr>
      <w:r>
        <w:t xml:space="preserve">Variante : Logement détenu par une partie</w:t>
      </w:r>
    </w:p>
    <w:p>
      <w:pPr>
        <w:pStyle w:val="Corps"/>
      </w:pPr>
      <w:r>
        <w:t xml:space="preserve">Le logement appartient à [Proprietaire logement] selon le titre vérifié. Les conditions d'occupation, les dépenses assumées par l'autre partie, leur qualification, les justificatifs à conserver et le délai de libération en cas de rupture sont fixés par [Convention occupation]. Sauf acte distinct répondant aux formalités requises, ces contributions ne confèrent ni quote-part de propriété, ni droit réel, ni maintien automatique dans les lieux.</w:t>
      </w:r>
    </w:p>
    <w:p>
      <w:pPr>
        <w:pStyle w:val="Variante"/>
      </w:pPr>
      <w:r>
        <w:t xml:space="preserve">Variante : Logement indivis</w:t>
      </w:r>
    </w:p>
    <w:p>
      <w:pPr>
        <w:pStyle w:val="Corps"/>
      </w:pPr>
      <w:r>
        <w:t xml:space="preserve">Le logement est détenu en indivision selon [Quotes parts indivision]. Sa jouissance, ses charges, son financement, les décisions de gestion, les travaux, l'indemnité d'occupation éventuelle et les modalités de sortie sont organisés par [Regles indivision logement]. La présente clause doit être rapprochée du titre et, si une convention d'indivision distincte est nécessaire, de cet acte ; elle ne remplace aucune formalité immobilière ou de publicité foncière.</w:t>
      </w:r>
    </w:p>
    <w:p>
      <w:pPr>
        <w:pStyle w:val="Intertitre"/>
      </w:pPr>
      <w:r>
        <w:t xml:space="preserve">Acquisitions communes</w:t>
      </w:r>
    </w:p>
    <w:p>
      <w:pPr>
        <w:pStyle w:val="Corps"/>
      </w:pPr>
      <w:r>
        <w:t xml:space="preserve">Une acquisition n'est tenue pour commune que si l'acte, la facture ou un écrit contemporain l'établit conformément à [Processus preuve acquisition]. Le document d'acquisition précise le bien, son prix, son financement, son propriétaire ou les quotes-parts retenues et le sort des frais. À défaut de preuve concordante, la convention ne permet pas d'inventer une indivision, une donation, un prêt ou une créance entre les parties.</w:t>
      </w:r>
    </w:p>
    <w:p>
      <w:pPr>
        <w:pStyle w:val="Intertitre"/>
      </w:pPr>
      <w:r>
        <w:t xml:space="preserve">Travaux et améliorations</w:t>
      </w:r>
    </w:p>
    <w:p>
      <w:pPr>
        <w:pStyle w:val="Corps"/>
      </w:pPr>
      <w:r>
        <w:t xml:space="preserve">Avant des travaux significatifs sur un bien propre ou indivis, les parties arrêtent leur objet, leur budget, leur financement et leur qualification selon [Regles financement travaux]. Les paiements et apports en nature sont conservés dans [Preuves contributions travaux]. Une contribution ne devient pas automatiquement une quote-part du bien ; tout remboursement ou toute indemnité dépend de l'accord écrit applicable et, à défaut, des règles légales vérifiées au moment du règlement.</w:t>
      </w:r>
    </w:p>
    <w:p>
      <w:pPr>
        <w:pStyle w:val="Intertitre"/>
      </w:pPr>
      <w:r>
        <w:t xml:space="preserve">Meubles et biens d'usage courant</w:t>
      </w:r>
    </w:p>
    <w:p>
      <w:pPr>
        <w:pStyle w:val="Corps"/>
      </w:pPr>
      <w:r>
        <w:t xml:space="preserve">Les meubles et biens d'usage courant sont rattachés à leur propriétaire par l'inventaire, la facture, le financement ou un accord écrit. Le simple usage commun ne transfère pas la propriété. Pour un bien acquis ensemble, les parties consignent les quotes-parts et la procédure de vente, d'attribution ou de partage. Les objets strictement personnels et documents de chacun restent immédiatement récupérables lors de la rupture.</w:t>
      </w:r>
    </w:p>
    <w:p>
      <w:pPr>
        <w:pStyle w:val="Intertitre"/>
      </w:pPr>
      <w:r>
        <w:t xml:space="preserve">Dettes</w:t>
      </w:r>
    </w:p>
    <w:p>
      <w:pPr>
        <w:pStyle w:val="Corps"/>
      </w:pPr>
      <w:r>
        <w:t xml:space="preserve">Chaque partie demeure seule tenue de ses dettes personnelles, sauf engagement exprès souscrit par l'autre envers le créancier. Les dettes liées aux dépenses communes sont recensées et réparties entre les parties selon [Regles dettes concubins], avec leurs contrats et échéanciers. Cette répartition interne n'est pas opposable au créancier sans son accord et ne crée aucune solidarité générale que la loi ou le contrat externe ne prévoirait pas.</w:t>
      </w:r>
    </w:p>
    <w:p>
      <w:pPr>
        <w:pStyle w:val="Intertitre"/>
      </w:pPr>
      <w:r>
        <w:t xml:space="preserve">Assurances et déclarations externes</w:t>
      </w:r>
    </w:p>
    <w:p>
      <w:pPr>
        <w:pStyle w:val="Corps"/>
      </w:pPr>
      <w:r>
        <w:t xml:space="preserve">Chaque partie vérifie les assurances nécessaires au logement, aux véhicules, aux biens et aux responsabilités qu'elle assume. Les déclarations adressées à l'assureur, à l'administration, à la banque, au bailleur ou à tout autre tiers doivent refléter la situation réelle. La convention ne garantit aucune couverture, prestation ou traitement fiscal et ne dispense pas d'informer séparément l'organisme concerné lorsque ses règles l'exigent.</w:t>
      </w:r>
    </w:p>
    <w:p>
      <w:pPr>
        <w:pStyle w:val="Intertitre"/>
      </w:pPr>
      <w:r>
        <w:t xml:space="preserve">Fin de la vie commune</w:t>
      </w:r>
    </w:p>
    <w:p>
      <w:pPr>
        <w:pStyle w:val="Corps"/>
      </w:pPr>
      <w:r>
        <w:t xml:space="preserve">Chacune peut mettre fin à la vie commune. La notification et la date retenue suivent [modalités notification rupture] afin d'organiser sans violence ni surprise la remise des clés, les contrats, les biens et les documents. Les comptes sont liquidés selon [Processus liquidation comptes] à partir des titres, factures et relevés : inventaire contradictoire, règlement des dépenses acquises, clôture du compte commun et traitement des biens indivis ou personnels.</w:t>
      </w:r>
    </w:p>
    <w:p>
      <w:pPr>
        <w:pStyle w:val="Intertitre"/>
      </w:pPr>
      <w:r>
        <w:t xml:space="preserve">Décès</w:t>
      </w:r>
    </w:p>
    <w:p>
      <w:pPr>
        <w:pStyle w:val="Corps"/>
      </w:pPr>
      <w:r>
        <w:t xml:space="preserve">La convention ne confère aucune vocation successorale au concubin survivant. Les éventuels effets recherchés doivent résulter des actes distincts identifiés dans [Dispositions successorales distinctes], de leurs bénéficiaires et de leur validité au jour du décès. Les parties sont invitées à distinguer testament, assurance, indivision et propriété des comptes ; aucune transmission, occupation ou représentation n'est affirmée sans titre ou disposition applicable.</w:t>
      </w:r>
    </w:p>
    <w:p>
      <w:pPr>
        <w:pStyle w:val="Intertitre"/>
      </w:pPr>
      <w:r>
        <w:t xml:space="preserve">Modification de la convention</w:t>
      </w:r>
    </w:p>
    <w:p>
      <w:pPr>
        <w:pStyle w:val="Corps"/>
      </w:pPr>
      <w:r>
        <w:t xml:space="preserve">Toute modification est établie par un écrit daté accepté par les deux parties et précise les clauses remplacées ainsi que sa date d'effet. Une pratique ponctuelle, une tolérance ou un paiement isolé ne modifie pas le titre de propriété ni la clé convenue. Les annexes mises à jour sont identifiées avec la même rigueur que les annexes initiales et conservées avec chaque exemplaire.</w:t>
      </w:r>
    </w:p>
    <w:p>
      <w:pPr>
        <w:pStyle w:val="Intertitre"/>
      </w:pPr>
      <w:r>
        <w:t xml:space="preserve">Règlement des désaccords</w:t>
      </w:r>
    </w:p>
    <w:p>
      <w:pPr>
        <w:pStyle w:val="Corps"/>
      </w:pPr>
      <w:r>
        <w:t xml:space="preserve">En cas de désaccord sur l'interprétation ou les comptes, les parties établissent d'abord un état des points contestés et échangent les pièces utiles. Elles peuvent rechercher un accord amiable sans renoncer aux mesures urgentes ni aux délais applicables. À défaut d'accord, la juridiction compétente est déterminée selon les règles en vigueur ; les parties ne désignent aucune compétence territoriale ni procédure contraire aux règles applicables.</w:t>
      </w:r>
    </w:p>
    <w:p>
      <w:pPr>
        <w:pStyle w:val="Intertitre"/>
      </w:pPr>
      <w:r>
        <w:t xml:space="preserve">Inventaires</w:t>
      </w:r>
    </w:p>
    <w:p>
      <w:pPr>
        <w:pStyle w:val="Corps"/>
      </w:pPr>
      <w:r>
        <w:t xml:space="preserve">Sont annexés et datés les inventaires de biens personnels, les titres ou baux relatifs au logement, les quotes-parts, relevés, factures, preuves de financement, accords de travaux et autres justificatifs désignés dans [Liste annexes patrimoniales]. Chaque annexe est identifiée sans être réputée remise si elle manque. Une mise à jour est signée ou confirmée par les deux parties pour éviter toute substitution silencieuse.</w:t>
      </w:r>
    </w:p>
    <w:p>
      <w:pPr>
        <w:pStyle w:val="Intertitre"/>
      </w:pPr>
      <w:r>
        <w:t xml:space="preserve">Conservation et remise des exemplaires</w:t>
      </w:r>
    </w:p>
    <w:p>
      <w:pPr>
        <w:pStyle w:val="Corps"/>
      </w:pPr>
      <w:r>
        <w:t xml:space="preserve">Chaque partie reçoit un exemplaire identique de la convention et des annexes effectivement remises. Les versions ultérieures conservent une date et une identification permettant de distinguer le projet, la version prête à signer et la copie signée. Les originaux, preuves de notification et justificatifs essentiels restent accessibles aux deux parties dans les limites de leurs droits respectifs.</w:t>
      </w:r>
    </w:p>
    <w:p>
      <w:pPr>
        <w:pStyle w:val="Intertitre"/>
      </w:pPr>
      <w:r>
        <w:t xml:space="preserve">Signature</w:t>
      </w:r>
    </w:p>
    <w:p>
      <w:pPr>
        <w:pStyle w:val="Corps"/>
      </w:pPr>
      <w:r>
        <w:t xml:space="preserve">Fait à [Lieu signature], le [Date signature], en deux exemplaires originaux. [Nom partie a] et [Nom partie b] signent après avoir reçu le texte complet et les annexes identifiées. Chaque signature est apposée dans l'espace correspondant à la partie concernée ; elle n'est présentée comme acquise que dans la route reflétant le stade réel du document.</w:t>
      </w:r>
    </w:p>
    <w:p>
      <w:pPr>
        <w:pStyle w:val="Intertitre"/>
      </w:pPr>
      <w:r>
        <w:t xml:space="preserve">Clause optionnelle : Signature par un représentant</w:t>
      </w:r>
    </w:p>
    <w:p>
      <w:pPr>
        <w:pStyle w:val="Corps"/>
      </w:pPr>
      <w:r>
        <w:t xml:space="preserve">Lorsqu'une partie ne signe pas personnellement, [Nom signataire] intervient en qualité de [qualité signataire] sur le fondement de [Preuve pouvoir signataire]. Le pouvoir, sa portée, sa durée et l'identité de la partie représentée sont contrôlés avant signature. Cette branche n'est incluse que si une représentation est effectivement nécessaire et documentée.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