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PACTE CIVIL DE SOLIDARITÉ</w:t>
      </w:r>
    </w:p>
    <w:p>
      <w:pPr>
        <w:pStyle w:val="Intertitre"/>
      </w:pPr>
      <w:r>
        <w:t xml:space="preserve">Convention de pacte civil de solidarité</w:t>
      </w:r>
    </w:p>
    <w:p>
      <w:pPr>
        <w:pStyle w:val="Corps"/>
      </w:pPr>
      <w:r>
        <w:t xml:space="preserve">Les partenaires arrêtent la présente convention afin d'organiser leur pacte civil de solidarité et de la produire à l'autorité chargée de son enregistrement.</w:t>
      </w:r>
    </w:p>
    <w:p>
      <w:pPr>
        <w:pStyle w:val="Intertitre"/>
      </w:pPr>
      <w:r>
        <w:t xml:space="preserve">Premier partenaire</w:t>
      </w:r>
    </w:p>
    <w:p>
      <w:pPr>
        <w:pStyle w:val="Corps"/>
      </w:pPr>
      <w:r>
        <w:t xml:space="preserve">Le premier partenaire est [Partenaire un nom]. Son identité, sa capacité et les éléments d'état civil nécessaires à l'enregistrement sont établis par les pièces déclarées.</w:t>
      </w:r>
    </w:p>
    <w:p>
      <w:pPr>
        <w:pStyle w:val="Intertitre"/>
      </w:pPr>
      <w:r>
        <w:t xml:space="preserve">Second partenaire</w:t>
      </w:r>
    </w:p>
    <w:p>
      <w:pPr>
        <w:pStyle w:val="Corps"/>
      </w:pPr>
      <w:r>
        <w:t xml:space="preserve">Le second partenaire est [Nom du partenaire b]. Son identité, sa capacité et les éléments d'état civil nécessaires à l'enregistrement sont établis par les pièces déclarées.</w:t>
      </w:r>
    </w:p>
    <w:p>
      <w:pPr>
        <w:pStyle w:val="Intertitre"/>
      </w:pPr>
      <w:r>
        <w:t xml:space="preserve">État civil et situation personnelle</w:t>
      </w:r>
    </w:p>
    <w:p>
      <w:pPr>
        <w:pStyle w:val="Corps"/>
      </w:pPr>
      <w:r>
        <w:t xml:space="preserve">La situation d'état civil et l'absence d'empêchement invoquées par les partenaires ressortent de [Preuves de l'état civil]. Aucune donnée absente de ces éléments n'est suppléée dans la convention.</w:t>
      </w:r>
    </w:p>
    <w:p>
      <w:pPr>
        <w:pStyle w:val="Intertitre"/>
      </w:pPr>
      <w:r>
        <w:t xml:space="preserve">Clause optionnelle : Conditions du pacte confirmées</w:t>
      </w:r>
    </w:p>
    <w:p>
      <w:pPr>
        <w:pStyle w:val="Corps"/>
      </w:pPr>
      <w:r>
        <w:t xml:space="preserve">Les partenaires déclarent disposer de la capacité requise, ne relever d'aucun empêchement légal et consentir librement à une vie commune organisée par le présent pacte.</w:t>
      </w:r>
    </w:p>
    <w:p>
      <w:pPr>
        <w:pStyle w:val="Intertitre"/>
      </w:pPr>
      <w:r>
        <w:t xml:space="preserve">Clause optionnelle : Orientation hors convention de PACS</w:t>
      </w:r>
    </w:p>
    <w:p>
      <w:pPr>
        <w:pStyle w:val="Corps"/>
      </w:pPr>
      <w:r>
        <w:t xml:space="preserve">Les conditions nécessaires à la conclusion du pacte ne sont pas confirmées. La convention ne doit pas être exportée ni présentée à l'enregistrement avant régularisation de la situation.</w:t>
      </w:r>
    </w:p>
    <w:p>
      <w:pPr>
        <w:pStyle w:val="Intertitre"/>
      </w:pPr>
      <w:r>
        <w:t xml:space="preserve">Objet de la convention</w:t>
      </w:r>
    </w:p>
    <w:p>
      <w:pPr>
        <w:pStyle w:val="Corps"/>
      </w:pPr>
      <w:r>
        <w:t xml:space="preserve">La convention fixe les engagements matériels et patrimoniaux des partenaires pendant le pacte, ainsi que les modalités de modification et de règlement de leurs rapports lors de sa dissolution.</w:t>
      </w:r>
    </w:p>
    <w:p>
      <w:pPr>
        <w:pStyle w:val="Intertitre"/>
      </w:pPr>
      <w:r>
        <w:t xml:space="preserve">Prise d'effet</w:t>
      </w:r>
    </w:p>
    <w:p>
      <w:pPr>
        <w:pStyle w:val="Corps"/>
      </w:pPr>
      <w:r>
        <w:t xml:space="preserve">Les partenaires présenteront la convention avec leur déclaration conjointe. Le pacte produit ses effets entre eux à compter de son enregistrement par l'autorité compétente.</w:t>
      </w:r>
    </w:p>
    <w:p>
      <w:pPr>
        <w:pStyle w:val="Intertitre"/>
      </w:pPr>
      <w:r>
        <w:t xml:space="preserve">Régime patrimonial — choisir une seule variante</w:t>
      </w:r>
    </w:p>
    <w:p>
      <w:pPr>
        <w:pStyle w:val="Variante"/>
      </w:pPr>
      <w:r>
        <w:t xml:space="preserve">Variante : Séparation des patrimoines</w:t>
      </w:r>
    </w:p>
    <w:p>
      <w:pPr>
        <w:pStyle w:val="Corps"/>
      </w:pPr>
      <w:r>
        <w:t xml:space="preserve">Chaque partenaire conserve l'administration, la jouissance et la libre disposition de ses biens personnels. La propriété exclusive est établie selon [Règles relatives à la preuve de la propriété].</w:t>
      </w:r>
    </w:p>
    <w:p>
      <w:pPr>
        <w:pStyle w:val="Corps"/>
      </w:pPr>
      <w:r>
        <w:t xml:space="preserve">Chaque partenaire conserve l'administration et la preuve de ses biens personnels. Les acquisitions, comptes et remboursements sont documentés afin d'éviter qu'une contribution aux dépenses communes soit confondue avec l'acquisition d'un droit de propriété non convenu.</w:t>
      </w:r>
    </w:p>
    <w:p>
      <w:pPr>
        <w:pStyle w:val="Variante"/>
      </w:pPr>
      <w:r>
        <w:t xml:space="preserve">Variante : Indivision conventionnelle</w:t>
      </w:r>
    </w:p>
    <w:p>
      <w:pPr>
        <w:pStyle w:val="Corps"/>
      </w:pPr>
      <w:r>
        <w:t xml:space="preserve">Les partenaires soumettent à l'indivision les acquisitions définies par [Biens soumis au régime d'indivision]. Les modalités de cette indivision sont [Conditions de propriété commune].</w:t>
      </w:r>
    </w:p>
    <w:p>
      <w:pPr>
        <w:pStyle w:val="Intertitre"/>
      </w:pPr>
      <w:r>
        <w:t xml:space="preserve">Preuve de propriété</w:t>
      </w:r>
    </w:p>
    <w:p>
      <w:pPr>
        <w:pStyle w:val="Corps"/>
      </w:pPr>
      <w:r>
        <w:t xml:space="preserve">Chaque partenaire conserve les justificatifs d'acquisition et de financement permettant d'établir la propriété des biens. À défaut de preuve exclusive, les conséquences légales applicables sont réservées.</w:t>
      </w:r>
    </w:p>
    <w:p>
      <w:pPr>
        <w:pStyle w:val="Intertitre"/>
      </w:pPr>
      <w:r>
        <w:t xml:space="preserve">Gestion des biens</w:t>
      </w:r>
    </w:p>
    <w:p>
      <w:pPr>
        <w:pStyle w:val="Corps"/>
      </w:pPr>
      <w:r>
        <w:t xml:space="preserve">L'administration, la jouissance et la disposition des biens sont organisées selon [Gestion des biens]. Les pouvoirs exercés à l'égard des tiers restent soumis au régime patrimonial choisi.</w:t>
      </w:r>
    </w:p>
    <w:p>
      <w:pPr>
        <w:pStyle w:val="Intertitre"/>
      </w:pPr>
      <w:r>
        <w:t xml:space="preserve">État patrimonial annexé</w:t>
      </w:r>
    </w:p>
    <w:p>
      <w:pPr>
        <w:pStyle w:val="Corps"/>
      </w:pPr>
      <w:r>
        <w:t xml:space="preserve">Les biens ou catégories que les partenaires souhaitent identifier sont repris dans [Calendrier des biens]. Cet état sert à la preuve et à l'exécution de la convention sans créer de propriété contraire au régime choisi.</w:t>
      </w:r>
    </w:p>
    <w:p>
      <w:pPr>
        <w:pStyle w:val="Intertitre"/>
      </w:pPr>
      <w:r>
        <w:t xml:space="preserve">Vie commune</w:t>
      </w:r>
    </w:p>
    <w:p>
      <w:pPr>
        <w:pStyle w:val="Corps"/>
      </w:pPr>
      <w:r>
        <w:t xml:space="preserve">Les partenaires s'engagent à une vie commune et organisent leur résidence, leur assistance et leurs décisions matérielles dans le respect de l'autonomie personnelle de chacun.</w:t>
      </w:r>
    </w:p>
    <w:p>
      <w:pPr>
        <w:pStyle w:val="Intertitre"/>
      </w:pPr>
      <w:r>
        <w:t xml:space="preserve">Assistance réciproque</w:t>
      </w:r>
    </w:p>
    <w:p>
      <w:pPr>
        <w:pStyle w:val="Corps"/>
      </w:pPr>
      <w:r>
        <w:t xml:space="preserve">L'assistance réciproque est organisée selon [Conditions de l'assistance mutuelle]. Elle couvre les soutiens personnels convenus sans transférer un pouvoir général de représentation d'un partenaire sur l'autre.</w:t>
      </w:r>
    </w:p>
    <w:p>
      <w:pPr>
        <w:pStyle w:val="Intertitre"/>
      </w:pPr>
      <w:r>
        <w:t xml:space="preserve">Dettes personnelles</w:t>
      </w:r>
    </w:p>
    <w:p>
      <w:pPr>
        <w:pStyle w:val="Corps"/>
      </w:pPr>
      <w:r>
        <w:t xml:space="preserve">Entre les partenaires, la répartition des dettes est définie par [Affectation de la dette]. Les dettes personnelles antérieures ou étrangères aux besoins de la vie courante restent attribuées selon leur cause.</w:t>
      </w:r>
    </w:p>
    <w:p>
      <w:pPr>
        <w:pStyle w:val="Intertitre"/>
      </w:pPr>
      <w:r>
        <w:t xml:space="preserve">Engagements envers les tiers</w:t>
      </w:r>
    </w:p>
    <w:p>
      <w:pPr>
        <w:pStyle w:val="Corps"/>
      </w:pPr>
      <w:r>
        <w:t xml:space="preserve">Les contrôles convenus avant un crédit, un emprunt ou une dépense importante sont [Contrôle de la dette]. Ils s'appliquent entre partenaires sans modifier les droits impératifs des tiers.</w:t>
      </w:r>
    </w:p>
    <w:p>
      <w:pPr>
        <w:pStyle w:val="Intertitre"/>
      </w:pPr>
      <w:r>
        <w:t xml:space="preserve">Dettes de la vie courante</w:t>
      </w:r>
    </w:p>
    <w:p>
      <w:pPr>
        <w:pStyle w:val="Corps"/>
      </w:pPr>
      <w:r>
        <w:t xml:space="preserve">La solidarité envers les tiers s'applique aux dettes de la vie courante dans les limites légales. Les dépenses manifestement excessives et les opérations exclues restent hors de cette solidarité.</w:t>
      </w:r>
    </w:p>
    <w:p>
      <w:pPr>
        <w:pStyle w:val="Intertitre"/>
      </w:pPr>
      <w:r>
        <w:t xml:space="preserve">Principe de l'aide matérielle</w:t>
      </w:r>
    </w:p>
    <w:p>
      <w:pPr>
        <w:pStyle w:val="Corps"/>
      </w:pPr>
      <w:r>
        <w:t xml:space="preserve">Les partenaires se doivent une aide matérielle. En l'absence de stipulation particulière applicable, cette aide est proportionnelle à leurs facultés respectives.</w:t>
      </w:r>
    </w:p>
    <w:p>
      <w:pPr>
        <w:pStyle w:val="Corps"/>
      </w:pPr>
      <w:r>
        <w:t xml:space="preserve">L'aide matérielle est organisée en fonction des facultés respectives et des dépenses effectivement communes. La convention précise les catégories de charges concernées, le mode de contribution et la manière de constater une avance. Elle ne rend pas communes les dettes personnelles ni les dépenses manifestement excessives engagées sans accord.</w:t>
      </w:r>
    </w:p>
    <w:p>
      <w:pPr>
        <w:pStyle w:val="Intertitre"/>
      </w:pPr>
      <w:r>
        <w:t xml:space="preserve">Clause optionnelle : Aide matérielle particulière</w:t>
      </w:r>
    </w:p>
    <w:p>
      <w:pPr>
        <w:pStyle w:val="Corps"/>
      </w:pPr>
      <w:r>
        <w:t xml:space="preserve">L'aide matérielle est répartie selon [Clé de contribution] et exécutée suivant [Procédure de contribution]. Son réexamen intervient selon [Examen des contributions].</w:t>
      </w:r>
    </w:p>
    <w:p>
      <w:pPr>
        <w:pStyle w:val="Intertitre"/>
      </w:pPr>
      <w:r>
        <w:t xml:space="preserve">Justification des contributions</w:t>
      </w:r>
    </w:p>
    <w:p>
      <w:pPr>
        <w:pStyle w:val="Corps"/>
      </w:pPr>
      <w:r>
        <w:t xml:space="preserve">Chaque partenaire conserve les justificatifs des dépenses et versements pris en compte dans l'aide matérielle. Les comptes entre eux excluent les doubles imputations et distinguent aide, prêt et acquisition.</w:t>
      </w:r>
    </w:p>
    <w:p>
      <w:pPr>
        <w:pStyle w:val="Intertitre"/>
      </w:pPr>
      <w:r>
        <w:t xml:space="preserve">Clause optionnelle : Logement commun</w:t>
      </w:r>
    </w:p>
    <w:p>
      <w:pPr>
        <w:pStyle w:val="Corps"/>
      </w:pPr>
      <w:r>
        <w:t xml:space="preserve">Le logement commun est situé [Adresse domiciliaire partagée]. Son occupation et sa gestion suivent [Modalités du logement], et les coûts correspondants sont répartis selon [Répartition des frais de logement].</w:t>
      </w:r>
    </w:p>
    <w:p>
      <w:pPr>
        <w:pStyle w:val="Intertitre"/>
      </w:pPr>
      <w:r>
        <w:t xml:space="preserve">Continuité du logement</w:t>
      </w:r>
    </w:p>
    <w:p>
      <w:pPr>
        <w:pStyle w:val="Corps"/>
      </w:pPr>
      <w:r>
        <w:t xml:space="preserve">Les décisions relatives au logement commun sont prises dans le respect des droits attachés au bail ou au titre de propriété. La convention ne confère pas de droit réel ou locatif absent du titre concerné.</w:t>
      </w:r>
    </w:p>
    <w:p>
      <w:pPr>
        <w:pStyle w:val="Intertitre"/>
      </w:pPr>
      <w:r>
        <w:t xml:space="preserve">Modification de la convention</w:t>
      </w:r>
    </w:p>
    <w:p>
      <w:pPr>
        <w:pStyle w:val="Corps"/>
      </w:pPr>
      <w:r>
        <w:t xml:space="preserve">Toute modification du pacte suit [Procédure d'amendement]. Elle est constatée par une convention modificative adoptée par les deux partenaires.</w:t>
      </w:r>
    </w:p>
    <w:p>
      <w:pPr>
        <w:pStyle w:val="Corps"/>
      </w:pPr>
      <w:r>
        <w:t xml:space="preserve">Toute modification résulte d'un écrit accepté par les deux partenaires, daté et cohérent avec la convention initiale. Elle identifie les stipulations remplacées et sa date d'effet. Une pratique différente ou un virement isolé ne suffit pas à modifier durablement le régime convenu.</w:t>
      </w:r>
    </w:p>
    <w:p>
      <w:pPr>
        <w:pStyle w:val="Intertitre"/>
      </w:pPr>
      <w:r>
        <w:t xml:space="preserve">Enregistrement des modifications</w:t>
      </w:r>
    </w:p>
    <w:p>
      <w:pPr>
        <w:pStyle w:val="Corps"/>
      </w:pPr>
      <w:r>
        <w:t xml:space="preserve">La convention modificative est remise ou adressée selon [Dépôt de modifications] afin d'être enregistrée par l'autorité ayant reçu le pacte initial.</w:t>
      </w:r>
    </w:p>
    <w:p>
      <w:pPr>
        <w:pStyle w:val="Corps"/>
      </w:pPr>
      <w:r>
        <w:t xml:space="preserve">La modification n'est opposable qu'après accomplissement de la formalité requise. Les partenaires conservent la convention modificative et la preuve de son enregistrement, puis mettent à jour les informations communiquées aux organismes concernés sans présumer les effets à l'égard des tiers avant cette date.</w:t>
      </w:r>
    </w:p>
    <w:p>
      <w:pPr>
        <w:pStyle w:val="Intertitre"/>
      </w:pPr>
      <w:r>
        <w:t xml:space="preserve">Formalités d'enregistrement</w:t>
      </w:r>
    </w:p>
    <w:p>
      <w:pPr>
        <w:pStyle w:val="Corps"/>
      </w:pPr>
      <w:r>
        <w:t xml:space="preserve">Les formalités initiales sont accomplies selon [Étapes d'enregistrement]. Les partenaires produisent ensemble la convention et les pièces requises sans remplacer la déclaration conjointe.</w:t>
      </w:r>
    </w:p>
    <w:p>
      <w:pPr>
        <w:pStyle w:val="Corps"/>
      </w:pPr>
      <w:r>
        <w:t xml:space="preserve">Les partenaires accomplissent la formalité auprès de l'autorité compétente avec les pièces requises et conservent la preuve de l'enregistrement. La convention distingue la date de signature de la date d'effet opposable et prévoit la régularisation d'une information d'état civil ou d'adresse devenue inexacte.</w:t>
      </w:r>
    </w:p>
    <w:p>
      <w:pPr>
        <w:pStyle w:val="Intertitre"/>
      </w:pPr>
      <w:r>
        <w:t xml:space="preserve">Dissolution du pacte</w:t>
      </w:r>
    </w:p>
    <w:p>
      <w:pPr>
        <w:pStyle w:val="Corps"/>
      </w:pPr>
      <w:r>
        <w:t xml:space="preserve">La dissolution et ses notifications sont organisées selon [Procédure de dissolution]. Jusqu'à la date d'effet opposable, les obligations issues du pacte continuent selon les règles applicables.</w:t>
      </w:r>
    </w:p>
    <w:p>
      <w:pPr>
        <w:pStyle w:val="Intertitre"/>
      </w:pPr>
      <w:r>
        <w:t xml:space="preserve">Règlement des comptes</w:t>
      </w:r>
    </w:p>
    <w:p>
      <w:pPr>
        <w:pStyle w:val="Corps"/>
      </w:pPr>
      <w:r>
        <w:t xml:space="preserve">Les créances et prétentions réciproques à examiner lors de la dissolution sont [Revendications du partenaire]. Leur règlement tient compte des preuves de propriété, des dettes et des versements établis.</w:t>
      </w:r>
    </w:p>
    <w:p>
      <w:pPr>
        <w:pStyle w:val="Intertitre"/>
      </w:pPr>
      <w:r>
        <w:t xml:space="preserve">Lieu, date et signatures</w:t>
      </w:r>
    </w:p>
    <w:p>
      <w:pPr>
        <w:pStyle w:val="Corps"/>
      </w:pPr>
      <w:r>
        <w:t xml:space="preserve">La convention est signée à [Lieu de signature] le [Date de signature] par [Signatures des partenaires]. Chaque partenaire reconnaît adopter l'ensemble de ses stipulations avant enregistrement.</w:t>
      </w:r>
    </w:p>
    <w:p>
      <w:pPr>
        <w:pStyle w:val="Corps"/>
      </w:pPr>
      <w:r>
        <w:t xml:space="preserve">Avant signature, les partenaires vérifient que leurs choix patrimoniaux, leurs contributions et les modalités relatives au logement correspondent à leur volonté commune. Chaque exemplaire contient les mêmes annexes et aucune page ou option non arrêtée ne demeure dans la convention enregistrée.</w:t>
      </w:r>
    </w:p>
    <w:p>
      <w:pPr>
        <w:pStyle w:val="Corps"/>
      </w:pPr>
      <w:r>
        <w:t xml:space="preserve">Les partenaires reçoivent chacun un exemplaire complet.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