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CONVENTION DE DÉMEMBREMENT DE PROPRIÉTÉ - USUFRUIT ET NUE-PROPRIÉTÉ</w:t>
      </w:r>
    </w:p>
    <w:p>
      <w:pPr>
        <w:pStyle w:val="Intertitre"/>
      </w:pPr>
      <w:r>
        <w:t xml:space="preserve">Convention relative à l'usufruit et à la nue-propriété</w:t>
      </w:r>
    </w:p>
    <w:p>
      <w:pPr>
        <w:pStyle w:val="Corps"/>
      </w:pPr>
      <w:r>
        <w:t xml:space="preserve">Convention organisant l'exercice de l'usufruit et de la nue-propriété dans le dossier [Dossier référence], sans modifier l'acte constitutif au-delà des stipulations expressément compatibles.</w:t>
      </w:r>
    </w:p>
    <w:p>
      <w:pPr>
        <w:pStyle w:val="Corps"/>
      </w:pPr>
      <w:r>
        <w:t xml:space="preserve">Le périmètre matériel, l'acte d'origine et la date de prise d'effet sont identifiés avant toute application de la convention.</w:t>
      </w:r>
    </w:p>
    <w:p>
      <w:pPr>
        <w:pStyle w:val="Intertitre"/>
      </w:pPr>
      <w:r>
        <w:t xml:space="preserve">Objet de la convention</w:t>
      </w:r>
    </w:p>
    <w:p>
      <w:pPr>
        <w:pStyle w:val="Corps"/>
      </w:pPr>
      <w:r>
        <w:t xml:space="preserve">Les parties organisent la jouissance, les fruits, l'administration, les charges, les décisions, les opérations de disposition et la restitution du bien démembré. Elles reconnaissent que la convention ne crée ni ne transfère les droits que seul l'acte d'origine peut établir.</w:t>
      </w:r>
    </w:p>
    <w:p>
      <w:pPr>
        <w:pStyle w:val="Corps"/>
      </w:pPr>
      <w:r>
        <w:t xml:space="preserve">Chaque stipulation doit donc être lue comme une règle d'exercice entre titulaires, sans novation du titre ni atteinte aux droits réels ou personnels déjà constitués au profit de tiers.</w:t>
      </w:r>
    </w:p>
    <w:p>
      <w:pPr>
        <w:pStyle w:val="Intertitre"/>
      </w:pPr>
      <w:r>
        <w:t xml:space="preserve">Hiérarchie des actes</w:t>
      </w:r>
    </w:p>
    <w:p>
      <w:pPr>
        <w:pStyle w:val="Corps"/>
      </w:pPr>
      <w:r>
        <w:t xml:space="preserve">En cas de contradiction, l'acte d'origine [Origin instrument référence], les dispositions impératives et les droits des tiers prévalent. Toute modification exige une vérification de forme et de publicité selon [Hierarchy control justificatif].</w:t>
      </w:r>
    </w:p>
    <w:p>
      <w:pPr>
        <w:pStyle w:val="Corps"/>
      </w:pPr>
      <w:r>
        <w:t xml:space="preserve">Le contrôle porte notamment sur les clauses de réserve, charges de donation, pouvoirs de gestion, interdictions d'aliéner, sûretés et mécanismes de remploi déjà stipulés.</w:t>
      </w:r>
    </w:p>
    <w:p>
      <w:pPr>
        <w:pStyle w:val="Intertitre"/>
      </w:pPr>
      <w:r>
        <w:t xml:space="preserve"> — choisir une seule variante</w:t>
      </w:r>
    </w:p>
    <w:p>
      <w:pPr>
        <w:pStyle w:val="Variante"/>
      </w:pPr>
      <w:r>
        <w:t xml:space="preserve">Variante : Usufruitier personne physique</w:t>
      </w:r>
    </w:p>
    <w:p>
      <w:pPr>
        <w:pStyle w:val="Corps"/>
      </w:pPr>
      <w:r>
        <w:t xml:space="preserve">L'usufruitier est [Usufructuary nom], domicilié [Usufructuary address], titulaire des droits décrits dans [Usufructuary droits tableau].</w:t>
      </w:r>
    </w:p>
    <w:p>
      <w:pPr>
        <w:pStyle w:val="Corps"/>
      </w:pPr>
      <w:r>
        <w:t xml:space="preserve">Son identité, sa capacité, la date de naissance utile à la durée ou à la valorisation et la concordance avec l'acte d'origine sont contrôlées avant signature. Les éventuelles mesures de protection ou représentations sont documentées.</w:t>
      </w:r>
    </w:p>
    <w:p>
      <w:pPr>
        <w:pStyle w:val="Variante"/>
      </w:pPr>
      <w:r>
        <w:t xml:space="preserve">Variante : Usufruitier personne morale</w:t>
      </w:r>
    </w:p>
    <w:p>
      <w:pPr>
        <w:pStyle w:val="Corps"/>
      </w:pPr>
      <w:r>
        <w:t xml:space="preserve">L'usufruitier est [Usufructuary légal nom], [Usufructuary légal form], dont le siège est situé [Usufructuary registered office], immatriculé sous [Usufructuary registration number], représenté par [Usufructuary representative nom] selon [Usufructuary authority justificatif].</w:t>
      </w:r>
    </w:p>
    <w:p>
      <w:pPr>
        <w:pStyle w:val="Corps"/>
      </w:pPr>
      <w:r>
        <w:t xml:space="preserve">La durée statutaire de la personne morale, son objet, l'organe compétent et la délibération autorisant la convention sont rapprochés du plafond légal applicable à l'usufruit.</w:t>
      </w:r>
    </w:p>
    <w:p>
      <w:pPr>
        <w:pStyle w:val="Intertitre"/>
      </w:pPr>
      <w:r>
        <w:t xml:space="preserve"> — choisir une seule variante</w:t>
      </w:r>
    </w:p>
    <w:p>
      <w:pPr>
        <w:pStyle w:val="Variante"/>
      </w:pPr>
      <w:r>
        <w:t xml:space="preserve">Variante : Nu-propriétaire unique</w:t>
      </w:r>
    </w:p>
    <w:p>
      <w:pPr>
        <w:pStyle w:val="Corps"/>
      </w:pPr>
      <w:r>
        <w:t xml:space="preserve">Le nu-propriétaire est [Nue-propriété owner nom], domicilié [Nue-propriété owner address], titulaire des droits décrits dans [Nue-propriété owner droits tableau].</w:t>
      </w:r>
    </w:p>
    <w:p>
      <w:pPr>
        <w:pStyle w:val="Corps"/>
      </w:pPr>
      <w:r>
        <w:t xml:space="preserve">Son titre, l'étendue de sa nue-propriété et les restrictions résultant de l'acte constitutif sont vérifiés afin qu'aucun droit indivis ou concurrent ne soit omis. Sa capacité et son pouvoir de consentir sont contrôlés.</w:t>
      </w:r>
    </w:p>
    <w:p>
      <w:pPr>
        <w:pStyle w:val="Variante"/>
      </w:pPr>
      <w:r>
        <w:t xml:space="preserve">Variante : Pluralité de nus-propriétaires</w:t>
      </w:r>
    </w:p>
    <w:p>
      <w:pPr>
        <w:pStyle w:val="Corps"/>
      </w:pPr>
      <w:r>
        <w:t xml:space="preserve">Les nus-propriétaires, leurs quotes-parts, leurs représentants et leurs droits sont identifiés dans [Nue-propriété owner tableau]. Aucun consentement collectif n'est présumé au-delà des pouvoirs établis.</w:t>
      </w:r>
    </w:p>
    <w:p>
      <w:pPr>
        <w:pStyle w:val="Corps"/>
      </w:pPr>
      <w:r>
        <w:t xml:space="preserve">La convention précise si les nus-propriétaires agissent individuellement, conjointement ou par mandataire pour chaque catégorie de décision. Les règles d'indivision éventuellement applicables restent distinctes du démembrement.</w:t>
      </w:r>
    </w:p>
    <w:p>
      <w:pPr>
        <w:pStyle w:val="Intertitre"/>
      </w:pPr>
      <w:r>
        <w:t xml:space="preserve">Capacité et pouvoirs</w:t>
      </w:r>
    </w:p>
    <w:p>
      <w:pPr>
        <w:pStyle w:val="Corps"/>
      </w:pPr>
      <w:r>
        <w:t xml:space="preserve">La capacité, les pouvoirs et les éventuelles autorisations de chaque partie résultent de [Party power preuve tableau]. Les signatures ne valent que pour les personnes et droits ainsi vérifiés.</w:t>
      </w:r>
    </w:p>
    <w:p>
      <w:pPr>
        <w:pStyle w:val="Corps"/>
      </w:pPr>
      <w:r>
        <w:t xml:space="preserve">Toute autorisation judiciaire, familiale, sociale ou statutaire requise est obtenue avant l'acte concerné. Une simple signature ne régularise pas rétroactivement un pouvoir manquant.</w:t>
      </w:r>
    </w:p>
    <w:p>
      <w:pPr>
        <w:pStyle w:val="Intertitre"/>
      </w:pPr>
      <w:r>
        <w:t xml:space="preserve">Coordonnées de notification</w:t>
      </w:r>
    </w:p>
    <w:p>
      <w:pPr>
        <w:pStyle w:val="Corps"/>
      </w:pPr>
      <w:r>
        <w:t xml:space="preserve">Les notifications sont adressées aux coordonnées recensées dans [Notification contact tableau] selon les modalités de preuve [Notification proof rules]. Toute modification est signalée sans modifier les autres stipulations.</w:t>
      </w:r>
    </w:p>
    <w:p>
      <w:pPr>
        <w:pStyle w:val="Corps"/>
      </w:pPr>
      <w:r>
        <w:t xml:space="preserve">La notification indique son objet, le bien concerné et l'action attendue. Les délais internes courent seulement à compter d'une remise établie selon le procédé convenu.</w:t>
      </w:r>
    </w:p>
    <w:p>
      <w:pPr>
        <w:pStyle w:val="Intertitre"/>
      </w:pPr>
      <w:r>
        <w:t xml:space="preserve"> — choisir une seule variante</w:t>
      </w:r>
    </w:p>
    <w:p>
      <w:pPr>
        <w:pStyle w:val="Variante"/>
      </w:pPr>
      <w:r>
        <w:t xml:space="preserve">Variante : Immeuble démembré</w:t>
      </w:r>
    </w:p>
    <w:p>
      <w:pPr>
        <w:pStyle w:val="Corps"/>
      </w:pPr>
      <w:r>
        <w:t xml:space="preserve">Le bien immobilier est désigné dans [Property description], situé [Property address] et identifié par [Cadastral and titre référence]. Les dépendances, occupations et droits accessoires sont recensés dans [Property scope tableau].</w:t>
      </w:r>
    </w:p>
    <w:p>
      <w:pPr>
        <w:pStyle w:val="Corps"/>
      </w:pPr>
      <w:r>
        <w:t xml:space="preserve">La désignation est rapprochée du titre publié, du plan cadastral, de la copropriété et des baux en cours. Toute discordance de superficie ou de lot est signalée avant signature.</w:t>
      </w:r>
    </w:p>
    <w:p>
      <w:pPr>
        <w:pStyle w:val="Variante"/>
      </w:pPr>
      <w:r>
        <w:t xml:space="preserve">Variante : Titres sociaux démembrés</w:t>
      </w:r>
    </w:p>
    <w:p>
      <w:pPr>
        <w:pStyle w:val="Corps"/>
      </w:pPr>
      <w:r>
        <w:t xml:space="preserve">Les titres démembrés de [Issuer société nom] sont identifiés dans [Garantie titre tableau] avec leur catégorie, nombre, numéros, droits financiers et droits de vote. Le registre de titres constitue la pièce de rapprochement.</w:t>
      </w:r>
    </w:p>
    <w:p>
      <w:pPr>
        <w:pStyle w:val="Corps"/>
      </w:pPr>
      <w:r>
        <w:t xml:space="preserve">La convention distingue les droits attachés aux titres des droits personnels contre la société. Toute sûreté, indisponibilité ou restriction statutaire à leur transfert est recensée.</w:t>
      </w:r>
    </w:p>
    <w:p>
      <w:pPr>
        <w:pStyle w:val="Variante"/>
      </w:pPr>
      <w:r>
        <w:t xml:space="preserve">Variante : Portefeuille financier démembré</w:t>
      </w:r>
    </w:p>
    <w:p>
      <w:pPr>
        <w:pStyle w:val="Corps"/>
      </w:pPr>
      <w:r>
        <w:t xml:space="preserve">Le portefeuille est décrit dans [Portfolio inventaire] et rattaché au compte [Portfolio account référence]. Les espèces, valeurs mobilières, revenus et opérations sont suivis séparément selon [Portfolio tracking rules].</w:t>
      </w:r>
    </w:p>
    <w:p>
      <w:pPr>
        <w:pStyle w:val="Corps"/>
      </w:pPr>
      <w:r>
        <w:t xml:space="preserve">L'inventaire indique la quantité, le prix de revient, la valeur et la qualification de chaque ligne à la date de départ. Les liquidités temporaires sont distinguées d'un quasi-usufruit permanent.</w:t>
      </w:r>
    </w:p>
    <w:p>
      <w:pPr>
        <w:pStyle w:val="Variante"/>
      </w:pPr>
      <w:r>
        <w:t xml:space="preserve">Variante : Sommes ou biens consomptibles</w:t>
      </w:r>
    </w:p>
    <w:p>
      <w:pPr>
        <w:pStyle w:val="Corps"/>
      </w:pPr>
      <w:r>
        <w:t xml:space="preserve">Le quasi-usufruit porte sur les sommes ou biens consomptibles décrits dans [Consumable bien inventaire], valorisés à [Cash amount] à la date [Valuation date]. Cette description ne remplace pas la dette de restitution et ses garanties.</w:t>
      </w:r>
    </w:p>
    <w:p>
      <w:pPr>
        <w:pStyle w:val="Corps"/>
      </w:pPr>
      <w:r>
        <w:t xml:space="preserve">La remise effective, le compte de dépôt et l'identité du débiteur de restitution sont établis. Les mouvements ultérieurs ne modifient ni l'assiette ni l'exigibilité sans stipulation expresse.</w:t>
      </w:r>
    </w:p>
    <w:p>
      <w:pPr>
        <w:pStyle w:val="Variante"/>
      </w:pPr>
      <w:r>
        <w:t xml:space="preserve">Variante : Biens meubles non consomptibles</w:t>
      </w:r>
    </w:p>
    <w:p>
      <w:pPr>
        <w:pStyle w:val="Corps"/>
      </w:pPr>
      <w:r>
        <w:t xml:space="preserve">Les meubles démembrés sont recensés dans [Movable bien inventaire] avec leur état, valeur, localisation et éléments d'identification. Leur usage doit préserver leur substance et permettre leur restitution individualisée.</w:t>
      </w:r>
    </w:p>
    <w:p>
      <w:pPr>
        <w:pStyle w:val="Corps"/>
      </w:pPr>
      <w:r>
        <w:t xml:space="preserve">Photographies, numéros de série, expertises et factures sont annexés lorsqu'ils permettent une identification fiable. Les accessoires et documents indispensables suivent le bien principal.</w:t>
      </w:r>
    </w:p>
    <w:p>
      <w:pPr>
        <w:pStyle w:val="Intertitre"/>
      </w:pPr>
      <w:r>
        <w:t xml:space="preserve">Évaluation du bien</w:t>
      </w:r>
    </w:p>
    <w:p>
      <w:pPr>
        <w:pStyle w:val="Corps"/>
      </w:pPr>
      <w:r>
        <w:t xml:space="preserve">La valeur de référence du bien est [Bien valeur] selon [Valuation method and preuve] à la date [Valuation date]. Cette valeur sert au suivi conventionnel sans préjuger d'une valeur fiscale ou de marché future.</w:t>
      </w:r>
    </w:p>
    <w:p>
      <w:pPr>
        <w:pStyle w:val="Corps"/>
      </w:pPr>
      <w:r>
        <w:t xml:space="preserve">La méthode précise ses hypothèses, la personne qui l'a établie et les pièces utilisées. Une actualisation est déclenchée avant toute cession, garantie ou indemnisation significative.</w:t>
      </w:r>
    </w:p>
    <w:p>
      <w:pPr>
        <w:pStyle w:val="Intertitre"/>
      </w:pPr>
      <w:r>
        <w:t xml:space="preserve"> — choisir une seule variante</w:t>
      </w:r>
    </w:p>
    <w:p>
      <w:pPr>
        <w:pStyle w:val="Variante"/>
      </w:pPr>
      <w:r>
        <w:t xml:space="preserve">Variante : Démembrement issu d'une donation</w:t>
      </w:r>
    </w:p>
    <w:p>
      <w:pPr>
        <w:pStyle w:val="Corps"/>
      </w:pPr>
      <w:r>
        <w:t xml:space="preserve">Le démembrement résulte de l'acte de donation [Origin instrument référence] reçu ou signé le [Origin date]. Les droits réservés et transmis sont repris dans [Origin droits matrix].</w:t>
      </w:r>
    </w:p>
    <w:p>
      <w:pPr>
        <w:pStyle w:val="Corps"/>
      </w:pPr>
      <w:r>
        <w:t xml:space="preserve">Les charges, conditions, réversibilités, interdictions et pouvoirs réservés par le donateur sont repris sans les étendre. La convention ne neutralise pas une acceptation ou une forme exigée par l'acte.</w:t>
      </w:r>
    </w:p>
    <w:p>
      <w:pPr>
        <w:pStyle w:val="Variante"/>
      </w:pPr>
      <w:r>
        <w:t xml:space="preserve">Variante : Démembrement issu d'une succession</w:t>
      </w:r>
    </w:p>
    <w:p>
      <w:pPr>
        <w:pStyle w:val="Corps"/>
      </w:pPr>
      <w:r>
        <w:t xml:space="preserve">Le démembrement résulte de la succession identifiée par [Origin instrument référence] et ouverte le [Origin date]. Les droits de chaque partie sont rapprochés de [Succession droits preuve].</w:t>
      </w:r>
    </w:p>
    <w:p>
      <w:pPr>
        <w:pStyle w:val="Corps"/>
      </w:pPr>
      <w:r>
        <w:t xml:space="preserve">L'option successorale, l'attestation immobilière, le partage éventuel et les droits successifs sont vérifiés. Les dettes entre ayants droit ne sont pas confondues avec une dette de restitution.</w:t>
      </w:r>
    </w:p>
    <w:p>
      <w:pPr>
        <w:pStyle w:val="Variante"/>
      </w:pPr>
      <w:r>
        <w:t xml:space="preserve">Variante : Acquisition démembrée</w:t>
      </w:r>
    </w:p>
    <w:p>
      <w:pPr>
        <w:pStyle w:val="Corps"/>
      </w:pPr>
      <w:r>
        <w:t xml:space="preserve">Les parties ont acquis séparément l'usufruit et la nue-propriété selon l'acte [Origin instrument référence] du [Origin date]. Le financement, le prix et les droits acquis sont décrits dans [Acquisition droits and financing tableau].</w:t>
      </w:r>
    </w:p>
    <w:p>
      <w:pPr>
        <w:pStyle w:val="Corps"/>
      </w:pPr>
      <w:r>
        <w:t xml:space="preserve">Le tableau rapproche les contributions au financement, la ventilation du prix et la valeur des droits acquis. Il ne déduit pas la propriété du seul payeur des fonds.</w:t>
      </w:r>
    </w:p>
    <w:p>
      <w:pPr>
        <w:pStyle w:val="Variante"/>
      </w:pPr>
      <w:r>
        <w:t xml:space="preserve">Variante : Réserve d'usufruit</w:t>
      </w:r>
    </w:p>
    <w:p>
      <w:pPr>
        <w:pStyle w:val="Corps"/>
      </w:pPr>
      <w:r>
        <w:t xml:space="preserve">L'usufruit a été réservé lors de la transmission constatée par [Origin instrument référence] le [Origin date]. La portée de la réserve et les droits du nu-propriétaire sont décrits dans [Origin droits matrix].</w:t>
      </w:r>
    </w:p>
    <w:p>
      <w:pPr>
        <w:pStyle w:val="Corps"/>
      </w:pPr>
      <w:r>
        <w:t xml:space="preserve">La convention respecte les limites, conditions et éventuels usufruits successifs de la réserve. Le bien ou le prix transmis reste identifiable dans les opérations ultérieures.</w:t>
      </w:r>
    </w:p>
    <w:p>
      <w:pPr>
        <w:pStyle w:val="Variante"/>
      </w:pPr>
      <w:r>
        <w:t xml:space="preserve">Variante : Autre origine vérifiée</w:t>
      </w:r>
    </w:p>
    <w:p>
      <w:pPr>
        <w:pStyle w:val="Corps"/>
      </w:pPr>
      <w:r>
        <w:t xml:space="preserve">Le démembrement résulte de [Other origin description] établi par [Origin instrument référence] le [Origin date]. Sa validité et son opposabilité sont documentées dans [Other origin légal preuve].</w:t>
      </w:r>
    </w:p>
    <w:p>
      <w:pPr>
        <w:pStyle w:val="Corps"/>
      </w:pPr>
      <w:r>
        <w:t xml:space="preserve">La qualification retenue est expliquée et les conditions de fond, de forme et de publicité propres à ce titre sont contrôlées. Aucune origine ne peut être renseignée par simple analogie.</w:t>
      </w:r>
    </w:p>
    <w:p>
      <w:pPr>
        <w:pStyle w:val="Intertitre"/>
      </w:pPr>
      <w:r>
        <w:t xml:space="preserve">Opposabilité et publicité</w:t>
      </w:r>
    </w:p>
    <w:p>
      <w:pPr>
        <w:pStyle w:val="Corps"/>
      </w:pPr>
      <w:r>
        <w:t xml:space="preserve">Les formalités rendant le démembrement opposable sont établies par [Propriété publicity preuve]. La convention sera publiée, enregistrée ou notifiée si [Convention publicity analysis] l'exige.</w:t>
      </w:r>
    </w:p>
    <w:p>
      <w:pPr>
        <w:pStyle w:val="Corps"/>
      </w:pPr>
      <w:r>
        <w:t xml:space="preserve">Le tableau distingue les formalités constitutives, déclaratives et d'opposabilité. Pour chacune sont indiqués le responsable, le destinataire, le délai, le coût et la preuve attendue.</w:t>
      </w:r>
    </w:p>
    <w:p>
      <w:pPr>
        <w:pStyle w:val="Intertitre"/>
      </w:pPr>
      <w:r>
        <w:t xml:space="preserve"> — choisir une seule variante</w:t>
      </w:r>
    </w:p>
    <w:p>
      <w:pPr>
        <w:pStyle w:val="Variante"/>
      </w:pPr>
      <w:r>
        <w:t xml:space="preserve">Variante : Usufruit viager</w:t>
      </w:r>
    </w:p>
    <w:p>
      <w:pPr>
        <w:pStyle w:val="Corps"/>
      </w:pPr>
      <w:r>
        <w:t xml:space="preserve">L'usufruit prend effet le [Usufruit start date] et s'éteint au décès de [Lifetime measuring person] sous réserve des autres causes légales d'extinction.</w:t>
      </w:r>
    </w:p>
    <w:p>
      <w:pPr>
        <w:pStyle w:val="Corps"/>
      </w:pPr>
      <w:r>
        <w:t xml:space="preserve">La convention précise si l'usufruit est immédiat, successif ou réversible et identifie la personne dont le décès commande l'extinction. Aucun terme calendaire incompatible n'est ajouté.</w:t>
      </w:r>
    </w:p>
    <w:p>
      <w:pPr>
        <w:pStyle w:val="Variante"/>
      </w:pPr>
      <w:r>
        <w:t xml:space="preserve">Variante : Usufruit temporaire</w:t>
      </w:r>
    </w:p>
    <w:p>
      <w:pPr>
        <w:pStyle w:val="Corps"/>
      </w:pPr>
      <w:r>
        <w:t xml:space="preserve">L'usufruit prend effet le [Usufruit start date] et est stipulé pour [Usufruit term années] années, avec un terme au [Usufruit end date] sous réserve d'une extinction antérieure légalement applicable.</w:t>
      </w:r>
    </w:p>
    <w:p>
      <w:pPr>
        <w:pStyle w:val="Corps"/>
      </w:pPr>
      <w:r>
        <w:t xml:space="preserve">Le calcul du terme tient compte de la nature du titulaire et de la limite légale applicable aux personnes morales. La durée conventionnelle ne peut excéder celle du titre constitutif.</w:t>
      </w:r>
    </w:p>
    <w:p>
      <w:pPr>
        <w:pStyle w:val="Variante"/>
      </w:pPr>
      <w:r>
        <w:t xml:space="preserve">Variante : Usufruit jusqu'à un événement déterminé</w:t>
      </w:r>
    </w:p>
    <w:p>
      <w:pPr>
        <w:pStyle w:val="Corps"/>
      </w:pPr>
      <w:r>
        <w:t xml:space="preserve">L'usufruit prend effet le [Usufruit start date] et prend fin lors de l'événement objectivement défini dans [Extinction event definition]. La constatation de l'événement suit [Extinction event preuve rules].</w:t>
      </w:r>
    </w:p>
    <w:p>
      <w:pPr>
        <w:pStyle w:val="Corps"/>
      </w:pPr>
      <w:r>
        <w:t xml:space="preserve">L'événement doit être vérifiable par un document ou un constat indépendant et ne pas dépendre de la seule volonté d'une partie. Ses effets sur les formalités et la restitution sont anticipés.</w:t>
      </w:r>
    </w:p>
    <w:p>
      <w:pPr>
        <w:pStyle w:val="Intertitre"/>
      </w:pPr>
      <w:r>
        <w:t xml:space="preserve">Clause optionnelle : Plafond applicable à la personne morale</w:t>
      </w:r>
    </w:p>
    <w:p>
      <w:pPr>
        <w:pStyle w:val="Corps"/>
      </w:pPr>
      <w:r>
        <w:t xml:space="preserve">Lorsque l'usufruit est accordé à une personne morale, sa durée ne peut excéder [Légal entity usufruit max années] années. Le terme retenu et son calcul sont établis dans [Légal entity term control].</w:t>
      </w:r>
    </w:p>
    <w:p>
      <w:pPr>
        <w:pStyle w:val="Corps"/>
      </w:pPr>
      <w:r>
        <w:t xml:space="preserve">Le plafond est appliqué à compter de la constitution effective de l'usufruit, sans renouvellement tacite. Une cession du droit ne permet pas d'en prolonger la durée initiale.</w:t>
      </w:r>
    </w:p>
    <w:p>
      <w:pPr>
        <w:pStyle w:val="Intertitre"/>
      </w:pPr>
      <w:r>
        <w:t xml:space="preserve">Clause optionnelle : Absence de prorogation tacite</w:t>
      </w:r>
    </w:p>
    <w:p>
      <w:pPr>
        <w:pStyle w:val="Corps"/>
      </w:pPr>
      <w:r>
        <w:t xml:space="preserve">Aucune prorogation ne résulte du maintien matériel de la jouissance après le terme. Toute extension exige un acte compatible avec l'origine, les droits des parties et les formalités applicables.</w:t>
      </w:r>
    </w:p>
    <w:p>
      <w:pPr>
        <w:pStyle w:val="Corps"/>
      </w:pPr>
      <w:r>
        <w:t xml:space="preserve">Après le terme, les encaissements et actes conservatoires sont comptabilisés pour le titulaire devenu plein propriétaire. Ils ne constituent pas une nouvelle convention implicite.</w:t>
      </w:r>
    </w:p>
    <w:p>
      <w:pPr>
        <w:pStyle w:val="Intertitre"/>
      </w:pPr>
      <w:r>
        <w:t xml:space="preserve"> — choisir une seule variante</w:t>
      </w:r>
    </w:p>
    <w:p>
      <w:pPr>
        <w:pStyle w:val="Variante"/>
      </w:pPr>
      <w:r>
        <w:t xml:space="preserve">Variante : Inventaire et état initial</w:t>
      </w:r>
    </w:p>
    <w:p>
      <w:pPr>
        <w:pStyle w:val="Corps"/>
      </w:pPr>
      <w:r>
        <w:t xml:space="preserve">Avant jouissance, les parties arrêtent l'inventaire ou l'état descriptif [Initial inventaire référence] le [Inventaire date]. Le document décrit la consistance, l'état et les réserves sans valeur de démonstration.</w:t>
      </w:r>
    </w:p>
    <w:p>
      <w:pPr>
        <w:pStyle w:val="Corps"/>
      </w:pPr>
      <w:r>
        <w:t xml:space="preserve">L'inventaire distingue les biens consomptibles, non consomptibles, fruits en cours et accessoires. Il sert de référence aux contrôles périodiques, aux comptes et à la restitution finale.</w:t>
      </w:r>
    </w:p>
    <w:p>
      <w:pPr>
        <w:pStyle w:val="Variante"/>
      </w:pPr>
      <w:r>
        <w:t xml:space="preserve">Variante : Dispense expresse d'inventaire</w:t>
      </w:r>
    </w:p>
    <w:p>
      <w:pPr>
        <w:pStyle w:val="Corps"/>
      </w:pPr>
      <w:r>
        <w:t xml:space="preserve">Les parties déclarent la dispense résultant de [Inventaire dispense basis] et en mesurent les conséquences probatoires. Cette dispense ne vaut ni reconnaissance d'un état inconnu ni renonciation aux droits des tiers.</w:t>
      </w:r>
    </w:p>
    <w:p>
      <w:pPr>
        <w:pStyle w:val="Corps"/>
      </w:pPr>
      <w:r>
        <w:t xml:space="preserve">Les parties conservent néanmoins les titres, évaluations et preuves disponibles. La dispense n'autorise pas l'usufruitier à disposer d'un bien non consomptible ni à en altérer la substance.</w:t>
      </w:r>
    </w:p>
    <w:p>
      <w:pPr>
        <w:pStyle w:val="Variante"/>
      </w:pPr>
      <w:r>
        <w:t xml:space="preserve">Variante : Inventaire non établi</w:t>
      </w:r>
    </w:p>
    <w:p>
      <w:pPr>
        <w:pStyle w:val="Corps"/>
      </w:pPr>
      <w:r>
        <w:t xml:space="preserve">L'inventaire ou l'état initial n'est pas établi selon [Inventaire gap justificatif]. La convention ne peut être exportée avant décision documentée sur cette obligation et sur la preuve de l'état du bien.</w:t>
      </w:r>
    </w:p>
    <w:p>
      <w:pPr>
        <w:pStyle w:val="Corps"/>
      </w:pPr>
      <w:r>
        <w:t xml:space="preserve">Le blocage identifie la partie chargée de régulariser, la méthode de constat et le délai convenu. Aucune jouissance ou remise irréversible n'est exécutée avant levée documentée.</w:t>
      </w:r>
    </w:p>
    <w:p>
      <w:pPr>
        <w:pStyle w:val="Intertitre"/>
      </w:pPr>
      <w:r>
        <w:t xml:space="preserve">Mise à jour de l'inventaire</w:t>
      </w:r>
    </w:p>
    <w:p>
      <w:pPr>
        <w:pStyle w:val="Corps"/>
      </w:pPr>
      <w:r>
        <w:t xml:space="preserve">L'inventaire est mis à jour selon [Periodic inventaire tableau] après toute opération significative, remplacement, distribution exceptionnelle ou modification de la consistance du bien.</w:t>
      </w:r>
    </w:p>
    <w:p>
      <w:pPr>
        <w:pStyle w:val="Corps"/>
      </w:pPr>
      <w:r>
        <w:t xml:space="preserve">Chaque mise à jour conserve l'historique des entrées, sorties, transformations et valeurs. Elle est communiquée aux titulaires avec les justificatifs et réserves éventuelles.</w:t>
      </w:r>
    </w:p>
    <w:p>
      <w:pPr>
        <w:pStyle w:val="Intertitre"/>
      </w:pPr>
      <w:r>
        <w:t xml:space="preserve"> — choisir une seule variante</w:t>
      </w:r>
    </w:p>
    <w:p>
      <w:pPr>
        <w:pStyle w:val="Variante"/>
      </w:pPr>
      <w:r>
        <w:t xml:space="preserve">Variante : Occupation personnelle de l'immeuble</w:t>
      </w:r>
    </w:p>
    <w:p>
      <w:pPr>
        <w:pStyle w:val="Corps"/>
      </w:pPr>
      <w:r>
        <w:t xml:space="preserve">L'usufruitier peut occuper l'immeuble selon [Personal occupation terms]. Il respecte la destination, les règles d'immeuble, les droits des tiers et les obligations d'entretien sans conférer un droit d'occupation à une personne non autorisée.</w:t>
      </w:r>
    </w:p>
    <w:p>
      <w:pPr>
        <w:pStyle w:val="Corps"/>
      </w:pPr>
      <w:r>
        <w:t xml:space="preserve">Les occupants autorisés, les frais d'usage, les travaux et les conditions d'accès du nu-propriétaire sont précisés. L'occupation gratuite d'un tiers exige un pouvoir et un traitement distincts.</w:t>
      </w:r>
    </w:p>
    <w:p>
      <w:pPr>
        <w:pStyle w:val="Variante"/>
      </w:pPr>
      <w:r>
        <w:t xml:space="preserve">Variante : Mise en location</w:t>
      </w:r>
    </w:p>
    <w:p>
      <w:pPr>
        <w:pStyle w:val="Corps"/>
      </w:pPr>
      <w:r>
        <w:t xml:space="preserve">L'usufruitier administre les locations dans les limites définies par [Rental management terms]. La nature, la durée et le renouvellement des baux sont contrôlés au regard des pouvoirs attachés à l'usufruit et des consentements requis.</w:t>
      </w:r>
    </w:p>
    <w:p>
      <w:pPr>
        <w:pStyle w:val="Corps"/>
      </w:pPr>
      <w:r>
        <w:t xml:space="preserve">Le mandat précise la sélection du locataire, la fixation du loyer, les garanties, les impayés, les travaux et la reddition. Les baux requérant un concours du nu-propriétaire sont identifiés avant engagement.</w:t>
      </w:r>
    </w:p>
    <w:p>
      <w:pPr>
        <w:pStyle w:val="Variante"/>
      </w:pPr>
      <w:r>
        <w:t xml:space="preserve">Variante : Gestion financière</w:t>
      </w:r>
    </w:p>
    <w:p>
      <w:pPr>
        <w:pStyle w:val="Corps"/>
      </w:pPr>
      <w:r>
        <w:t xml:space="preserve">La gestion du portefeuille ou des titres respecte le mandat [Financial management mandate], le profil de risque [Investment risk policy] et les droits respectifs sur capital et revenus. Aucun arbitrage n'est présumé autorisé hors de ce cadre.</w:t>
      </w:r>
    </w:p>
    <w:p>
      <w:pPr>
        <w:pStyle w:val="Corps"/>
      </w:pPr>
      <w:r>
        <w:t xml:space="preserve">Le gestionnaire rend compte des ordres, frais, revenus et arbitrages. Les opérations susceptibles d'entamer le capital ou de modifier la nature du portefeuille sont soumises au consentement prévu.</w:t>
      </w:r>
    </w:p>
    <w:p>
      <w:pPr>
        <w:pStyle w:val="Variante"/>
      </w:pPr>
      <w:r>
        <w:t xml:space="preserve">Variante : Usage des meubles</w:t>
      </w:r>
    </w:p>
    <w:p>
      <w:pPr>
        <w:pStyle w:val="Corps"/>
      </w:pPr>
      <w:r>
        <w:t xml:space="preserve">L'usufruitier utilise les meubles conformément à leur destination et aux conditions [Movable use terms]. Il assure leur conservation, leur localisation et leur présentation lors des contrôles convenus.</w:t>
      </w:r>
    </w:p>
    <w:p>
      <w:pPr>
        <w:pStyle w:val="Corps"/>
      </w:pPr>
      <w:r>
        <w:t xml:space="preserve">Les prêts, déplacements, transformations et sous-dépôts sont soumis aux autorisations prévues. Toute perte ou détérioration est immédiatement constatée et reliée au régime d'assurance.</w:t>
      </w:r>
    </w:p>
    <w:p>
      <w:pPr>
        <w:pStyle w:val="Variante"/>
      </w:pPr>
      <w:r>
        <w:t xml:space="preserve">Variante : Disposition des choses consomptibles</w:t>
      </w:r>
    </w:p>
    <w:p>
      <w:pPr>
        <w:pStyle w:val="Corps"/>
      </w:pPr>
      <w:r>
        <w:t xml:space="preserve">L'usufruitier peut disposer des choses consomptibles dans les limites du quasi-usufruit sélectionné. Cette faculté est indissociable de l'inventaire, de la valorisation, de la dette de restitution et des garanties convenues.</w:t>
      </w:r>
    </w:p>
    <w:p>
      <w:pPr>
        <w:pStyle w:val="Corps"/>
      </w:pPr>
      <w:r>
        <w:t xml:space="preserve">Les retraits et emplois sont tracés séparément des fruits produits. Le débiteur ne peut compenser la restitution avec une dépense ou créance non admise selon la procédure convenue.</w:t>
      </w:r>
    </w:p>
    <w:p>
      <w:pPr>
        <w:pStyle w:val="Intertitre"/>
      </w:pPr>
      <w:r>
        <w:t xml:space="preserve">Conservation de la substance</w:t>
      </w:r>
    </w:p>
    <w:p>
      <w:pPr>
        <w:pStyle w:val="Corps"/>
      </w:pPr>
      <w:r>
        <w:t xml:space="preserve">L'usufruitier use du bien en conservant sa substance et signale sans délai toute dégradation, sinistre, occupation irrégulière ou risque identifié selon [Preservation incident process].</w:t>
      </w:r>
    </w:p>
    <w:p>
      <w:pPr>
        <w:pStyle w:val="Corps"/>
      </w:pPr>
      <w:r>
        <w:t xml:space="preserve">L'information précise la nature du risque, les mesures prises, leur coût et l'urgence. Le silence de l'autre partie n'autorise que les actes strictement conservatoires nécessaires.</w:t>
      </w:r>
    </w:p>
    <w:p>
      <w:pPr>
        <w:pStyle w:val="Intertitre"/>
      </w:pPr>
      <w:r>
        <w:t xml:space="preserve"> — choisir une seule variante</w:t>
      </w:r>
    </w:p>
    <w:p>
      <w:pPr>
        <w:pStyle w:val="Variante"/>
      </w:pPr>
      <w:r>
        <w:t xml:space="preserve">Variante : Loyers et revenus immobiliers</w:t>
      </w:r>
    </w:p>
    <w:p>
      <w:pPr>
        <w:pStyle w:val="Corps"/>
      </w:pPr>
      <w:r>
        <w:t xml:space="preserve">Les loyers et produits locatifs reviennent à l'usufruitier après encaissement et sont suivis dans [Rental income tableau]. Dépôts, indemnités, pas-de-porte et produits exceptionnels sont qualifiés séparément avant attribution.</w:t>
      </w:r>
    </w:p>
    <w:p>
      <w:pPr>
        <w:pStyle w:val="Corps"/>
      </w:pPr>
      <w:r>
        <w:t xml:space="preserve">Le tableau ventile loyers, provisions, régularisations, impayés et indemnités par période. Les dépenses récupérables et non récupérables sont rapprochées avant calcul du revenu distribuable.</w:t>
      </w:r>
    </w:p>
    <w:p>
      <w:pPr>
        <w:pStyle w:val="Variante"/>
      </w:pPr>
      <w:r>
        <w:t xml:space="preserve">Variante : Dividendes et distributions</w:t>
      </w:r>
    </w:p>
    <w:p>
      <w:pPr>
        <w:pStyle w:val="Corps"/>
      </w:pPr>
      <w:r>
        <w:t xml:space="preserve">Les distributions de [Issuer société nom] sont analysées selon [Distribution characterization matrix] afin de distinguer revenus, réserves, primes, remboursement d'apport et opérations affectant la substance. Leur attribution n'est pas déduite de leur seule dénomination.</w:t>
      </w:r>
    </w:p>
    <w:p>
      <w:pPr>
        <w:pStyle w:val="Corps"/>
      </w:pPr>
      <w:r>
        <w:t xml:space="preserve">La décision sociale, l'origine comptable de la distribution et son effet sur les capitaux propres sont examinés. Le traitement entre usufruitier et nu-propriétaire est consigné avant encaissement ou remploi.</w:t>
      </w:r>
    </w:p>
    <w:p>
      <w:pPr>
        <w:pStyle w:val="Variante"/>
      </w:pPr>
      <w:r>
        <w:t xml:space="preserve">Variante : Revenus du portefeuille</w:t>
      </w:r>
    </w:p>
    <w:p>
      <w:pPr>
        <w:pStyle w:val="Corps"/>
      </w:pPr>
      <w:r>
        <w:t xml:space="preserve">Intérêts, coupons, dividendes et autres produits sont identifiés dans [Portfolio income tableau]. Les plus-values, remboursements et produits de cession sont traités comme capital ou remploi selon la route d'arbitrage retenue.</w:t>
      </w:r>
    </w:p>
    <w:p>
      <w:pPr>
        <w:pStyle w:val="Corps"/>
      </w:pPr>
      <w:r>
        <w:t xml:space="preserve">Le relevé distingue le rendement courant du produit d'une aliénation ou d'un remboursement de capital. Les retenues, frais et impôts sont ventilés sans diminuer arbitrairement la substance.</w:t>
      </w:r>
    </w:p>
    <w:p>
      <w:pPr>
        <w:pStyle w:val="Variante"/>
      </w:pPr>
      <w:r>
        <w:t xml:space="preserve">Variante : Absence de fruits périodiques</w:t>
      </w:r>
    </w:p>
    <w:p>
      <w:pPr>
        <w:pStyle w:val="Corps"/>
      </w:pPr>
      <w:r>
        <w:t xml:space="preserve">Le bien ne produit actuellement aucun fruit selon [No income preuve]. Toute mise en revenu ultérieure déclenche l'application des règles de gestion, de charges et de reddition correspondantes.</w:t>
      </w:r>
    </w:p>
    <w:p>
      <w:pPr>
        <w:pStyle w:val="Corps"/>
      </w:pPr>
      <w:r>
        <w:t xml:space="preserve">Les frais de conservation, appels de fonds et produits exceptionnels restent suivis malgré l'absence de revenu périodique. Un contrôle est effectué à chaque clôture de compte.</w:t>
      </w:r>
    </w:p>
    <w:p>
      <w:pPr>
        <w:pStyle w:val="Intertitre"/>
      </w:pPr>
      <w:r>
        <w:t xml:space="preserve">Comptes et reddition</w:t>
      </w:r>
    </w:p>
    <w:p>
      <w:pPr>
        <w:pStyle w:val="Corps"/>
      </w:pPr>
      <w:r>
        <w:t xml:space="preserve">L'usufruitier tient les comptes selon [Accounting and reporting tableau] et communique les justificatifs convenus. Les encaissements de capital et de revenus sont isolés pour éviter toute confusion patrimoniale.</w:t>
      </w:r>
    </w:p>
    <w:p>
      <w:pPr>
        <w:pStyle w:val="Corps"/>
      </w:pPr>
      <w:r>
        <w:t xml:space="preserve">La reddition présente un solde d'ouverture, les mouvements de la période, les pièces et le solde de clôture. Toute contestation est formulée dans le délai et selon la procédure convenus.</w:t>
      </w:r>
    </w:p>
    <w:p>
      <w:pPr>
        <w:pStyle w:val="Intertitre"/>
      </w:pPr>
      <w:r>
        <w:t xml:space="preserve"> — choisir une seule variante</w:t>
      </w:r>
    </w:p>
    <w:p>
      <w:pPr>
        <w:pStyle w:val="Variante"/>
      </w:pPr>
      <w:r>
        <w:t xml:space="preserve">Variante : Décisions d'une société civile</w:t>
      </w:r>
    </w:p>
    <w:p>
      <w:pPr>
        <w:pStyle w:val="Corps"/>
      </w:pPr>
      <w:r>
        <w:t xml:space="preserve">Pour les titres d'une société civile, la participation aux décisions et le droit de vote sont exercés selon [Civil société voting matrix], les statuts [Issuer articles référence] et les règles légales applicables au démembrement.</w:t>
      </w:r>
    </w:p>
    <w:p>
      <w:pPr>
        <w:pStyle w:val="Corps"/>
      </w:pPr>
      <w:r>
        <w:t xml:space="preserve">La matrice distingue le droit de participer du droit de voter et répartit les décisions selon leur incidence sur les bénéfices ou la substance. Toute convention statutaire contraire est signalée.</w:t>
      </w:r>
    </w:p>
    <w:p>
      <w:pPr>
        <w:pStyle w:val="Variante"/>
      </w:pPr>
      <w:r>
        <w:t xml:space="preserve">Variante : Décisions d'une société commerciale</w:t>
      </w:r>
    </w:p>
    <w:p>
      <w:pPr>
        <w:pStyle w:val="Corps"/>
      </w:pPr>
      <w:r>
        <w:t xml:space="preserve">Pour les titres d'une société commerciale, les droits d'information, de participation et de vote sont répartis selon [Commercial société voting matrix] après contrôle de la forme sociale, des statuts [Issuer articles référence] et des dispositions impératives.</w:t>
      </w:r>
    </w:p>
    <w:p>
      <w:pPr>
        <w:pStyle w:val="Corps"/>
      </w:pPr>
      <w:r>
        <w:t xml:space="preserve">Les règles propres à la forme sociale sont appliquées séparément, sans transposer automatiquement celles des sociétés civiles. Les conventions de vote et pactes opposables sont recensés.</w:t>
      </w:r>
    </w:p>
    <w:p>
      <w:pPr>
        <w:pStyle w:val="Variante"/>
      </w:pPr>
      <w:r>
        <w:t xml:space="preserve">Variante : Absence de droits sociaux</w:t>
      </w:r>
    </w:p>
    <w:p>
      <w:pPr>
        <w:pStyle w:val="Corps"/>
      </w:pPr>
      <w:r>
        <w:t xml:space="preserve">Le bien n'est pas un titre social. Aucun bloc de vote ou de décision collective n'est applicable, sous réserve des mécanismes propres au portefeuille ou à l'indivision décrits ailleurs.</w:t>
      </w:r>
    </w:p>
    <w:p>
      <w:pPr>
        <w:pStyle w:val="Corps"/>
      </w:pPr>
      <w:r>
        <w:t xml:space="preserve">Cette branche exclut uniquement la gouvernance sociale. Les décisions relatives à la conservation, à l'administration et à la disposition du bien demeurent soumises aux règles sélectionnées.</w:t>
      </w:r>
    </w:p>
    <w:p>
      <w:pPr>
        <w:pStyle w:val="Intertitre"/>
      </w:pPr>
      <w:r>
        <w:t xml:space="preserve">Clause optionnelle : Information réciproque</w:t>
      </w:r>
    </w:p>
    <w:p>
      <w:pPr>
        <w:pStyle w:val="Corps"/>
      </w:pPr>
      <w:r>
        <w:t xml:space="preserve">Chaque partie transmet à l'autre les convocations, rapports, projets de résolution et informations susceptibles d'affecter ses droits selon [Governance information process]. Les délais internes n'altèrent pas les délais sociaux impératifs.</w:t>
      </w:r>
    </w:p>
    <w:p>
      <w:pPr>
        <w:pStyle w:val="Corps"/>
      </w:pPr>
      <w:r>
        <w:t xml:space="preserve">La partie qui reçoit directement l'information sociale la transmet dans un format exploitable et assez tôt pour permettre une analyse. Les informations confidentielles conservent leur régime propre.</w:t>
      </w:r>
    </w:p>
    <w:p>
      <w:pPr>
        <w:pStyle w:val="Intertitre"/>
      </w:pPr>
      <w:r>
        <w:t xml:space="preserve">Clause optionnelle : Désaccord sur une décision</w:t>
      </w:r>
    </w:p>
    <w:p>
      <w:pPr>
        <w:pStyle w:val="Corps"/>
      </w:pPr>
      <w:r>
        <w:t xml:space="preserve">En cas de désaccord, les parties appliquent [Governance dispute process] sans donner instruction contradictoire à la société. La procédure ne permet pas de déplacer un droit de vote impérativement attribué par la loi ou les statuts.</w:t>
      </w:r>
    </w:p>
    <w:p>
      <w:pPr>
        <w:pStyle w:val="Corps"/>
      </w:pPr>
      <w:r>
        <w:t xml:space="preserve">Le mécanisme prévoit une alerte, un échange documenté et, si nécessaire, une mesure conservatoire. Il ne crée ni mandat irrévocable ni pouvoir de substitution contraire à une règle impérative.</w:t>
      </w:r>
    </w:p>
    <w:p>
      <w:pPr>
        <w:pStyle w:val="Intertitre"/>
      </w:pPr>
      <w:r>
        <w:t xml:space="preserve"> — choisir une seule variante</w:t>
      </w:r>
    </w:p>
    <w:p>
      <w:pPr>
        <w:pStyle w:val="Variante"/>
      </w:pPr>
      <w:r>
        <w:t xml:space="preserve">Variante : Répartition légale des réparations immobilières</w:t>
      </w:r>
    </w:p>
    <w:p>
      <w:pPr>
        <w:pStyle w:val="Corps"/>
      </w:pPr>
      <w:r>
        <w:t xml:space="preserve">Pour l'immeuble, l'usufruitier supporte les réparations d'entretien et le nu-propriétaire les grosses réparations définies par les textes, sauf conséquence du défaut d'entretien imputable. Le tableau [Repair classification tableau] qualifie chaque intervention avant engagement.</w:t>
      </w:r>
    </w:p>
    <w:p>
      <w:pPr>
        <w:pStyle w:val="Corps"/>
      </w:pPr>
      <w:r>
        <w:t xml:space="preserve">La qualification ne dépend ni du seul montant ni du nom porté sur le devis. L'origine du dommage, l'urgence et un éventuel défaut d'entretien sont documentés avant répartition définitive.</w:t>
      </w:r>
    </w:p>
    <w:p>
      <w:pPr>
        <w:pStyle w:val="Variante"/>
      </w:pPr>
      <w:r>
        <w:t xml:space="preserve">Variante : Répartition conventionnelle des dépenses immobilières</w:t>
      </w:r>
    </w:p>
    <w:p>
      <w:pPr>
        <w:pStyle w:val="Corps"/>
      </w:pPr>
      <w:r>
        <w:t xml:space="preserve">Pour l'immeuble, les parties répartissent entre elles les dépenses selon [Contractual charge matrix], sous réserve des règles impératives et des droits des tiers. Cette répartition interne n'altère pas automatiquement l'obligation envers le fournisseur, la copropriété ou l'administration.</w:t>
      </w:r>
    </w:p>
    <w:p>
      <w:pPr>
        <w:pStyle w:val="Corps"/>
      </w:pPr>
      <w:r>
        <w:t xml:space="preserve">Le tableau précise l'avance, le remboursement, les appels de fonds et le sort des améliorations. Il distingue les rapports internes des obligations opposables aux tiers.</w:t>
      </w:r>
    </w:p>
    <w:p>
      <w:pPr>
        <w:pStyle w:val="Variante"/>
      </w:pPr>
      <w:r>
        <w:t xml:space="preserve">Variante : Frais liés aux actifs financiers</w:t>
      </w:r>
    </w:p>
    <w:p>
      <w:pPr>
        <w:pStyle w:val="Corps"/>
      </w:pPr>
      <w:r>
        <w:t xml:space="preserve">Frais de tenue de compte, gestion, courtage, conservation, fiscalité et opérations sur titres sont répartis selon [Financial cost allocation matrix]. Chaque prélèvement est qualifié comme charge de revenu ou charge de capital avant imputation.</w:t>
      </w:r>
    </w:p>
    <w:p>
      <w:pPr>
        <w:pStyle w:val="Corps"/>
      </w:pPr>
      <w:r>
        <w:t xml:space="preserve">Les frais liés à l'administration courante sont séparés de ceux engagés pour acquérir, céder ou garantir le capital. Leur prélèvement est justifié dans la reddition périodique.</w:t>
      </w:r>
    </w:p>
    <w:p>
      <w:pPr>
        <w:pStyle w:val="Variante"/>
      </w:pPr>
      <w:r>
        <w:t xml:space="preserve">Variante : Frais liés aux biens meubles</w:t>
      </w:r>
    </w:p>
    <w:p>
      <w:pPr>
        <w:pStyle w:val="Corps"/>
      </w:pPr>
      <w:r>
        <w:t xml:space="preserve">Entretien, conservation, stockage, transport, expertise et restauration des meubles sont répartis selon [Movable cost allocation matrix]. Toute dépense modifiant la substance ou la valeur exige l'accord prévu.</w:t>
      </w:r>
    </w:p>
    <w:p>
      <w:pPr>
        <w:pStyle w:val="Corps"/>
      </w:pPr>
      <w:r>
        <w:t xml:space="preserve">L'accord préalable précise le budget, le prestataire, l'effet sur la valeur et le propriétaire des éléments ajoutés. Les dépenses urgentes sont justifiées et notifiées sans délai.</w:t>
      </w:r>
    </w:p>
    <w:p>
      <w:pPr>
        <w:pStyle w:val="Variante"/>
      </w:pPr>
      <w:r>
        <w:t xml:space="preserve">Variante : Frais liés aux choses consomptibles</w:t>
      </w:r>
    </w:p>
    <w:p>
      <w:pPr>
        <w:pStyle w:val="Corps"/>
      </w:pPr>
      <w:r>
        <w:t xml:space="preserve">Frais de dépôt, transfert, valorisation, sûreté et restitution des choses consomptibles sont répartis selon [Consumable cost allocation matrix]. Ils ne réduisent la dette de restitution que si la convention le prévoit expressément et valablement.</w:t>
      </w:r>
    </w:p>
    <w:p>
      <w:pPr>
        <w:pStyle w:val="Corps"/>
      </w:pPr>
      <w:r>
        <w:t xml:space="preserve">Chaque frais est rattaché à la remise, à la gestion ou à la restitution. Les retenues opérées sur les fonds sont justifiées et n'altèrent pas le montant nominal dû sans accord valable.</w:t>
      </w:r>
    </w:p>
    <w:p>
      <w:pPr>
        <w:pStyle w:val="Intertitre"/>
      </w:pPr>
      <w:r>
        <w:t xml:space="preserve">Clause optionnelle : Charges annuelles de l'immeuble</w:t>
      </w:r>
    </w:p>
    <w:p>
      <w:pPr>
        <w:pStyle w:val="Corps"/>
      </w:pPr>
      <w:r>
        <w:t xml:space="preserve">Les charges annuelles attachées à la jouissance, impôts, appels de fonds et dépenses récurrentes sont recensés dans [Annual charge tableau] avec leur débiteur légal, leur payeur conventionnel et le mécanisme de remboursement.</w:t>
      </w:r>
    </w:p>
    <w:p>
      <w:pPr>
        <w:pStyle w:val="Corps"/>
      </w:pPr>
      <w:r>
        <w:t xml:space="preserve">La date d'exigibilité, le compte de paiement et les justificatifs sont renseignés. Les régularisations sont intégrées aux comptes sans confondre redevable légal et charge économique finale.</w:t>
      </w:r>
    </w:p>
    <w:p>
      <w:pPr>
        <w:pStyle w:val="Intertitre"/>
      </w:pPr>
      <w:r>
        <w:t xml:space="preserve">Clause optionnelle : Procédure de travaux ou interventions</w:t>
      </w:r>
    </w:p>
    <w:p>
      <w:pPr>
        <w:pStyle w:val="Corps"/>
      </w:pPr>
      <w:r>
        <w:t xml:space="preserve">Toute intervention suit [Works approval process] : information, urgence, devis, qualification, décision, financement, réception et conservation des factures. Les interventions urgentes destinées à préserver le bien sont notifiées sans délai.</w:t>
      </w:r>
    </w:p>
    <w:p>
      <w:pPr>
        <w:pStyle w:val="Corps"/>
      </w:pPr>
      <w:r>
        <w:t xml:space="preserve">Le dossier conserve l'avis technique, les autorisations administratives ou collectives et le procès-verbal de réception. Les améliorations sont distinguées des réparations nécessaires et leur indemnisation éventuelle est arrêtée avant travaux.</w:t>
      </w:r>
    </w:p>
    <w:p>
      <w:pPr>
        <w:pStyle w:val="Intertitre"/>
      </w:pPr>
      <w:r>
        <w:t xml:space="preserve"> — choisir une seule variante</w:t>
      </w:r>
    </w:p>
    <w:p>
      <w:pPr>
        <w:pStyle w:val="Variante"/>
      </w:pPr>
      <w:r>
        <w:t xml:space="preserve">Variante : Assurances en vigueur</w:t>
      </w:r>
    </w:p>
    <w:p>
      <w:pPr>
        <w:pStyle w:val="Corps"/>
      </w:pPr>
      <w:r>
        <w:t xml:space="preserve">Les polices, assurés, garanties, primes et bénéficiaires d'indemnités figurent dans [Insurance tableau]. Tout sinistre est déclaré selon [Insurance claim process] et l'indemnité est affectée selon sa nature et la route de remploi.</w:t>
      </w:r>
    </w:p>
    <w:p>
      <w:pPr>
        <w:pStyle w:val="Corps"/>
      </w:pPr>
      <w:r>
        <w:t xml:space="preserve">Le maintien des garanties est contrôlé à chaque échéance et changement d'usage. Les indemnités réparant le bien sont distinguées de celles compensant une perte de revenus.</w:t>
      </w:r>
    </w:p>
    <w:p>
      <w:pPr>
        <w:pStyle w:val="Variante"/>
      </w:pPr>
      <w:r>
        <w:t xml:space="preserve">Variante : Absence d'assurance applicable</w:t>
      </w:r>
    </w:p>
    <w:p>
      <w:pPr>
        <w:pStyle w:val="Corps"/>
      </w:pPr>
      <w:r>
        <w:t xml:space="preserve">Aucune assurance propre au bien n'est retenue selon [No insurance analysis]. Cette conclusion est réexaminée avant toute modification d'usage, conservation par un tiers ou opération augmentant le risque.</w:t>
      </w:r>
    </w:p>
    <w:p>
      <w:pPr>
        <w:pStyle w:val="Corps"/>
      </w:pPr>
      <w:r>
        <w:t xml:space="preserve">Les parties consignent le risque résiduel et la répartition des conséquences d'un sinistre. Cette branche ne vaut pas déclaration générale d'inassurabilité du bien.</w:t>
      </w:r>
    </w:p>
    <w:p>
      <w:pPr>
        <w:pStyle w:val="Intertitre"/>
      </w:pPr>
      <w:r>
        <w:t xml:space="preserve">Responsabilité et recours</w:t>
      </w:r>
    </w:p>
    <w:p>
      <w:pPr>
        <w:pStyle w:val="Corps"/>
      </w:pPr>
      <w:r>
        <w:t xml:space="preserve">Chaque partie répond des fautes, manquements et dépenses qui lui sont imputables selon [Liability allocation rules]. Les recours contre un tiers sont coordonnés pour éviter renonciation, transaction ou prescription préjudiciable.</w:t>
      </w:r>
    </w:p>
    <w:p>
      <w:pPr>
        <w:pStyle w:val="Corps"/>
      </w:pPr>
      <w:r>
        <w:t xml:space="preserve">La partie informée prend les mesures nécessaires pour préserver les recours et transmet les pièces. Toute indemnisation est imputée selon la nature du préjudice et du droit atteint.</w:t>
      </w:r>
    </w:p>
    <w:p>
      <w:pPr>
        <w:pStyle w:val="Intertitre"/>
      </w:pPr>
      <w:r>
        <w:t xml:space="preserve"> — choisir une seule variante</w:t>
      </w:r>
    </w:p>
    <w:p>
      <w:pPr>
        <w:pStyle w:val="Variante"/>
      </w:pPr>
      <w:r>
        <w:t xml:space="preserve">Variante : Absence d'opération de disposition</w:t>
      </w:r>
    </w:p>
    <w:p>
      <w:pPr>
        <w:pStyle w:val="Corps"/>
      </w:pPr>
      <w:r>
        <w:t xml:space="preserve">Aucune vente, apport, échange ou remploi n'est envisagé selon [No disposal confirmation]. Toute opération future exige une nouvelle décision et la détermination préalable du sort du prix.</w:t>
      </w:r>
    </w:p>
    <w:p>
      <w:pPr>
        <w:pStyle w:val="Corps"/>
      </w:pPr>
      <w:r>
        <w:t xml:space="preserve">Les actes d'administration courante restent possibles dans les limites convenues. Aucun silence, relevé de compte ou mandat de gestion n'est interprété comme un accord de cession.</w:t>
      </w:r>
    </w:p>
    <w:p>
      <w:pPr>
        <w:pStyle w:val="Variante"/>
      </w:pPr>
      <w:r>
        <w:t xml:space="preserve">Variante : Vente et partage du prix</w:t>
      </w:r>
    </w:p>
    <w:p>
      <w:pPr>
        <w:pStyle w:val="Corps"/>
      </w:pPr>
      <w:r>
        <w:t xml:space="preserve">La vente conjointe décrite dans [Sale transaction justificatif] conduit à répartir le prix de [Sale price] selon [Price allocation method] après contrôle des valorisations et consentements. Aucun quasi-usufruit sur le prix n'est créé par défaut.</w:t>
      </w:r>
    </w:p>
    <w:p>
      <w:pPr>
        <w:pStyle w:val="Corps"/>
      </w:pPr>
      <w:r>
        <w:t xml:space="preserve">Le tableau de répartition précise la date de valeur, les frais et le paiement à chaque titulaire. Une retenue ou garantie est isolée avant distribution du solde.</w:t>
      </w:r>
    </w:p>
    <w:p>
      <w:pPr>
        <w:pStyle w:val="Variante"/>
      </w:pPr>
      <w:r>
        <w:t xml:space="preserve">Variante : Vente avec remploi démembré</w:t>
      </w:r>
    </w:p>
    <w:p>
      <w:pPr>
        <w:pStyle w:val="Corps"/>
      </w:pPr>
      <w:r>
        <w:t xml:space="preserve">Le prix de cession est remployé dans le bien décrit par [Replacement bien description] selon [Reinvestment process]. L'usufruit et la nue-propriété sont reportés sur le bien de remploi dans les proportions et formes vérifiées.</w:t>
      </w:r>
    </w:p>
    <w:p>
      <w:pPr>
        <w:pStyle w:val="Corps"/>
      </w:pPr>
      <w:r>
        <w:t xml:space="preserve">Les fonds sont sécurisés entre la vente et l'acquisition, et le délai de remploi est défini. Le nouvel acte reproduit clairement le démembrement et les droits de chaque titulaire.</w:t>
      </w:r>
    </w:p>
    <w:p>
      <w:pPr>
        <w:pStyle w:val="Variante"/>
      </w:pPr>
      <w:r>
        <w:t xml:space="preserve">Variante : Vente avec quasi-usufruit sur le prix</w:t>
      </w:r>
    </w:p>
    <w:p>
      <w:pPr>
        <w:pStyle w:val="Corps"/>
      </w:pPr>
      <w:r>
        <w:t xml:space="preserve">Les parties conviennent, sous réserve de validité, d'attribuer le prix à l'usufruitier contre une dette de restitution détaillée dans [Sale price restitution justificatif]. La valorisation, la fiscalité et les sûretés sont contrôlées avant décaissement.</w:t>
      </w:r>
    </w:p>
    <w:p>
      <w:pPr>
        <w:pStyle w:val="Corps"/>
      </w:pPr>
      <w:r>
        <w:t xml:space="preserve">Le paiement à l'usufruitier intervient seulement après constat de la créance, de son débiteur, de son exigibilité et des garanties. Les conséquences fiscales sont analysées sans présumer la déductibilité successorale.</w:t>
      </w:r>
    </w:p>
    <w:p>
      <w:pPr>
        <w:pStyle w:val="Variante"/>
      </w:pPr>
      <w:r>
        <w:t xml:space="preserve">Variante : Échange ou apport avec report du démembrement</w:t>
      </w:r>
    </w:p>
    <w:p>
      <w:pPr>
        <w:pStyle w:val="Corps"/>
      </w:pPr>
      <w:r>
        <w:t xml:space="preserve">L'échange ou l'apport est décrit dans [Exchange or contribution justificatif]. Les droits reçus, soultes, frais, parités et formalités de report sont identifiés avant l'opération ; aucun report automatique n'est affirmé.</w:t>
      </w:r>
    </w:p>
    <w:p>
      <w:pPr>
        <w:pStyle w:val="Corps"/>
      </w:pPr>
      <w:r>
        <w:t xml:space="preserve">Le consentement porte sur l'opération complète, la valeur des biens reçus et le traitement des soultes. Les nouveaux titres ou biens sont inscrits au nom des titulaires selon le démembrement constaté.</w:t>
      </w:r>
    </w:p>
    <w:p>
      <w:pPr>
        <w:pStyle w:val="Intertitre"/>
      </w:pPr>
      <w:r>
        <w:t xml:space="preserve">Consentement aux actes de disposition</w:t>
      </w:r>
    </w:p>
    <w:p>
      <w:pPr>
        <w:pStyle w:val="Corps"/>
      </w:pPr>
      <w:r>
        <w:t xml:space="preserve">Aucun acte affectant la substance ou la propriété n'est signé sans les consentements et pouvoirs recensés dans [Disposal consent tableau]. La convention ne vaut pas mandat de vendre ou d'apporter.</w:t>
      </w:r>
    </w:p>
    <w:p>
      <w:pPr>
        <w:pStyle w:val="Corps"/>
      </w:pPr>
      <w:r>
        <w:t xml:space="preserve">Le consentement décrit l'opération, le prix, le bénéficiaire, le sort du produit et la durée de validité. Toute condition non réalisée rend nécessaire une nouvelle approbation.</w:t>
      </w:r>
    </w:p>
    <w:p>
      <w:pPr>
        <w:pStyle w:val="Intertitre"/>
      </w:pPr>
      <w:r>
        <w:t xml:space="preserve"> — choisir une seule variante</w:t>
      </w:r>
    </w:p>
    <w:p>
      <w:pPr>
        <w:pStyle w:val="Variante"/>
      </w:pPr>
      <w:r>
        <w:t xml:space="preserve">Variante : Absence de quasi-usufruit</w:t>
      </w:r>
    </w:p>
    <w:p>
      <w:pPr>
        <w:pStyle w:val="Corps"/>
      </w:pPr>
      <w:r>
        <w:t xml:space="preserve">Le bien n'est pas traité comme consomptible et aucune faculté de disposition contre restitution n'est accordée selon [No quasi usufruit preuve]. Les règles ordinaires de conservation et restitution en nature s'appliquent.</w:t>
      </w:r>
    </w:p>
    <w:p>
      <w:pPr>
        <w:pStyle w:val="Corps"/>
      </w:pPr>
      <w:r>
        <w:t xml:space="preserve">Les sommes encaissées au titre d'une vente ou d'un remboursement ne deviennent pas consomptibles par simple détention. Leur sort exige la route de répartition ou de remploi appropriée.</w:t>
      </w:r>
    </w:p>
    <w:p>
      <w:pPr>
        <w:pStyle w:val="Variante"/>
      </w:pPr>
      <w:r>
        <w:t xml:space="preserve">Variante : Quasi-usufruit sur choses consomptibles</w:t>
      </w:r>
    </w:p>
    <w:p>
      <w:pPr>
        <w:pStyle w:val="Corps"/>
      </w:pPr>
      <w:r>
        <w:t xml:space="preserve">Le quasi-usufruit porte sur les choses consomptibles inventoriées et valorisées. L'usufruitier peut les consommer ou aliéner à charge de restituer, au terme, l'équivalent déterminé dans [Restitution equivalence rules].</w:t>
      </w:r>
    </w:p>
    <w:p>
      <w:pPr>
        <w:pStyle w:val="Corps"/>
      </w:pPr>
      <w:r>
        <w:t xml:space="preserve">L'équivalence précise quantité, qualité, valeur, date d'évaluation et mode de paiement. Elle est rapprochée de l'inventaire et ne se déduit pas d'une estimation fiscale étrangère à la restitution.</w:t>
      </w:r>
    </w:p>
    <w:p>
      <w:pPr>
        <w:pStyle w:val="Variante"/>
      </w:pPr>
      <w:r>
        <w:t xml:space="preserve">Variante : Quasi-usufruit conventionnel</w:t>
      </w:r>
    </w:p>
    <w:p>
      <w:pPr>
        <w:pStyle w:val="Corps"/>
      </w:pPr>
      <w:r>
        <w:t xml:space="preserve">La convention de quasi-usufruit porte sur [Contractual quasi bien description] et définit expressément la faculté de disposition, le calcul de la dette, son exigibilité et ses garanties. Sa compatibilité avec l'acte d'origine est établie par [Contractual quasi validity preuve].</w:t>
      </w:r>
    </w:p>
    <w:p>
      <w:pPr>
        <w:pStyle w:val="Corps"/>
      </w:pPr>
      <w:r>
        <w:t xml:space="preserve">La convention identifie le débiteur, le créancier, la date de naissance et les événements d'exigibilité. Les pouvoirs de disposition sont limités à l'assiette réellement remise.</w:t>
      </w:r>
    </w:p>
    <w:p>
      <w:pPr>
        <w:pStyle w:val="Intertitre"/>
      </w:pPr>
      <w:r>
        <w:t xml:space="preserve">Clause optionnelle : Dette de restitution</w:t>
      </w:r>
    </w:p>
    <w:p>
      <w:pPr>
        <w:pStyle w:val="Corps"/>
      </w:pPr>
      <w:r>
        <w:t xml:space="preserve">La dette de restitution est arrêtée à [Restitution debt amount] selon [Restitution debt calculation] et reconnue dans [Restitution debt instrument référence]. Son indexation, exigibilité, preuve et paiement suivent [Restitution debt terms].</w:t>
      </w:r>
    </w:p>
    <w:p>
      <w:pPr>
        <w:pStyle w:val="Corps"/>
      </w:pPr>
      <w:r>
        <w:t xml:space="preserve">La créance est inscrite et suivie séparément du patrimoine consommé. Toute indexation, intérêts, remboursement anticipé ou compensation obéit aux conditions expressément convenues.</w:t>
      </w:r>
    </w:p>
    <w:p>
      <w:pPr>
        <w:pStyle w:val="Intertitre"/>
      </w:pPr>
      <w:r>
        <w:t xml:space="preserve">Clause optionnelle : Traitement fiscal de la dette de restitution</w:t>
      </w:r>
    </w:p>
    <w:p>
      <w:pPr>
        <w:pStyle w:val="Corps"/>
      </w:pPr>
      <w:r>
        <w:t xml:space="preserve">La déductibilité successorale de la dette n'est pas présumée. L'analyse [Restitution debt tax analysis] examine l'origine des sommes, l'opération ayant créé l'usufruit, les exceptions et les justificatifs au regard du texte fiscal applicable.</w:t>
      </w:r>
    </w:p>
    <w:p>
      <w:pPr>
        <w:pStyle w:val="Corps"/>
      </w:pPr>
      <w:r>
        <w:t xml:space="preserve">Le dossier conserve le titre d'origine, les mouvements de fonds et l'objectif économique de l'opération. Une analyse actualisée est exigée avant toute déclaration successorale.</w:t>
      </w:r>
    </w:p>
    <w:p>
      <w:pPr>
        <w:pStyle w:val="Intertitre"/>
      </w:pPr>
      <w:r>
        <w:t xml:space="preserve"> — choisir une seule variante</w:t>
      </w:r>
    </w:p>
    <w:p>
      <w:pPr>
        <w:pStyle w:val="Variante"/>
      </w:pPr>
      <w:r>
        <w:t xml:space="preserve">Variante : Caution ou sûreté fournie</w:t>
      </w:r>
    </w:p>
    <w:p>
      <w:pPr>
        <w:pStyle w:val="Corps"/>
      </w:pPr>
      <w:r>
        <w:t xml:space="preserve">La garantie de bonne jouissance ou de restitution consiste en [Garantie description] selon l'acte [Garantie instrument référence]. Son montant, rang, durée, bénéficiaire et conditions de réalisation sont vérifiés.</w:t>
      </w:r>
    </w:p>
    <w:p>
      <w:pPr>
        <w:pStyle w:val="Corps"/>
      </w:pPr>
      <w:r>
        <w:t xml:space="preserve">La valeur de la sûreté est rapprochée de la dette ou du risque couvert et réévaluée selon la périodicité convenue. Les formalités de constitution et d'opposabilité sont prouvées.</w:t>
      </w:r>
    </w:p>
    <w:p>
      <w:pPr>
        <w:pStyle w:val="Variante"/>
      </w:pPr>
      <w:r>
        <w:t xml:space="preserve">Variante : Dispense de caution</w:t>
      </w:r>
    </w:p>
    <w:p>
      <w:pPr>
        <w:pStyle w:val="Corps"/>
      </w:pPr>
      <w:r>
        <w:t xml:space="preserve">La dispense de caution résulte de [Garantie dispense basis] et sa portée est limitée à ce qu'autorise l'acte ou la loi. Elle ne supprime ni l'obligation de conservation, ni la dette de restitution, ni les autres garanties convenues.</w:t>
      </w:r>
    </w:p>
    <w:p>
      <w:pPr>
        <w:pStyle w:val="Corps"/>
      </w:pPr>
      <w:r>
        <w:t xml:space="preserve">La dispense est interprétée strictement et n'est pas étendue à une sûreté distincte prévue pour une dette de restitution. Son maintien est réexaminé si le risque change substantiellement.</w:t>
      </w:r>
    </w:p>
    <w:p>
      <w:pPr>
        <w:pStyle w:val="Variante"/>
      </w:pPr>
      <w:r>
        <w:t xml:space="preserve">Variante : Garantie non arrêtée</w:t>
      </w:r>
    </w:p>
    <w:p>
      <w:pPr>
        <w:pStyle w:val="Corps"/>
      </w:pPr>
      <w:r>
        <w:t xml:space="preserve">La garantie requise n'est pas arrêtée selon [Garantie gap justificatif]. La remise des biens, des fonds ou du pouvoir de disposition demeure bloquée jusqu'à décision documentée.</w:t>
      </w:r>
    </w:p>
    <w:p>
      <w:pPr>
        <w:pStyle w:val="Corps"/>
      </w:pPr>
      <w:r>
        <w:t xml:space="preserve">Le registre indique les solutions examinées, le responsable et la date de décision attendue. Aucune mention de sûreté projetée n'est présentée comme une garantie constituée.</w:t>
      </w:r>
    </w:p>
    <w:p>
      <w:pPr>
        <w:pStyle w:val="Intertitre"/>
      </w:pPr>
      <w:r>
        <w:t xml:space="preserve">Clause optionnelle : Sûreté de la dette de restitution</w:t>
      </w:r>
    </w:p>
    <w:p>
      <w:pPr>
        <w:pStyle w:val="Corps"/>
      </w:pPr>
      <w:r>
        <w:t xml:space="preserve">La dette de restitution est garantie par [Restitution garantie description] selon [Restitution garantie terms]. Toute mainlevée, substitution ou réduction exige l'accord et les formalités prévus.</w:t>
      </w:r>
    </w:p>
    <w:p>
      <w:pPr>
        <w:pStyle w:val="Corps"/>
      </w:pPr>
      <w:r>
        <w:t xml:space="preserve">La sûreté couvre le principal et, seulement si cela est prévu, les accessoires. Sa valeur, son rang et sa durée sont suivis jusqu'au paiement ou à la mainlevée régulière.</w:t>
      </w:r>
    </w:p>
    <w:p>
      <w:pPr>
        <w:pStyle w:val="Intertitre"/>
      </w:pPr>
      <w:r>
        <w:t xml:space="preserve"> — choisir une seule variante</w:t>
      </w:r>
    </w:p>
    <w:p>
      <w:pPr>
        <w:pStyle w:val="Variante"/>
      </w:pPr>
      <w:r>
        <w:t xml:space="preserve">Variante : Extinction au décès</w:t>
      </w:r>
    </w:p>
    <w:p>
      <w:pPr>
        <w:pStyle w:val="Corps"/>
      </w:pPr>
      <w:r>
        <w:t xml:space="preserve">Au décès de [Lifetime measuring person], l'usufruit s'éteint sous réserve des droits successifs valablement constitués. Les formalités, comptes et restitutions suivent [Death extinction process].</w:t>
      </w:r>
    </w:p>
    <w:p>
      <w:pPr>
        <w:pStyle w:val="Corps"/>
      </w:pPr>
      <w:r>
        <w:t xml:space="preserve">Les ayants droit sont informés, les comptes sont arrêtés à la date du décès et les fruits sont ventilés selon leur période. Les titres et publicités sont ensuite mis à jour.</w:t>
      </w:r>
    </w:p>
    <w:p>
      <w:pPr>
        <w:pStyle w:val="Variante"/>
      </w:pPr>
      <w:r>
        <w:t xml:space="preserve">Variante : Extinction au terme</w:t>
      </w:r>
    </w:p>
    <w:p>
      <w:pPr>
        <w:pStyle w:val="Corps"/>
      </w:pPr>
      <w:r>
        <w:t xml:space="preserve">À la date [Usufruit end date], l'usufruit s'éteint et la restitution ou réunion des droits est mise en œuvre selon [Term extinction process], sous réserve d'une extinction antérieure.</w:t>
      </w:r>
    </w:p>
    <w:p>
      <w:pPr>
        <w:pStyle w:val="Corps"/>
      </w:pPr>
      <w:r>
        <w:t xml:space="preserve">Une alerte préalable permet de préparer l'inventaire, les comptes et la remise. Les revenus courus, charges et opérations non dénouées sont affectés selon leur date et leur nature.</w:t>
      </w:r>
    </w:p>
    <w:p>
      <w:pPr>
        <w:pStyle w:val="Variante"/>
      </w:pPr>
      <w:r>
        <w:t xml:space="preserve">Variante : Réunion de l'usufruit et de la nue-propriété</w:t>
      </w:r>
    </w:p>
    <w:p>
      <w:pPr>
        <w:pStyle w:val="Corps"/>
      </w:pPr>
      <w:r>
        <w:t xml:space="preserve">La réunion des qualités sur une même tête est constatée par [Consolidation preuve]. Les registres, titres et publicités sont mis à jour selon [Consolidation formality process].</w:t>
      </w:r>
    </w:p>
    <w:p>
      <w:pPr>
        <w:pStyle w:val="Corps"/>
      </w:pPr>
      <w:r>
        <w:t xml:space="preserve">La cause et la date de réunion sont vérifiées, notamment en cas d'acquisition ou transmission successive. Les sûretés et droits de tiers sont traités avant clôture.</w:t>
      </w:r>
    </w:p>
    <w:p>
      <w:pPr>
        <w:pStyle w:val="Variante"/>
      </w:pPr>
      <w:r>
        <w:t xml:space="preserve">Variante : Renonciation à l'usufruit</w:t>
      </w:r>
    </w:p>
    <w:p>
      <w:pPr>
        <w:pStyle w:val="Corps"/>
      </w:pPr>
      <w:r>
        <w:t xml:space="preserve">La renonciation est constatée par [Renunciation instrument référence] après contrôle de son caractère non équivoque, de ses effets fiscaux, des droits des créanciers et des formalités requises.</w:t>
      </w:r>
    </w:p>
    <w:p>
      <w:pPr>
        <w:pStyle w:val="Corps"/>
      </w:pPr>
      <w:r>
        <w:t xml:space="preserve">L'acte précise son bénéficiaire, sa date d'effet et l'absence de contrepartie dissimulée. Les notifications, droits d'enregistrement et conséquences sur les sûretés sont contrôlés.</w:t>
      </w:r>
    </w:p>
    <w:p>
      <w:pPr>
        <w:pStyle w:val="Variante"/>
      </w:pPr>
      <w:r>
        <w:t xml:space="preserve">Variante : Perte totale du bien</w:t>
      </w:r>
    </w:p>
    <w:p>
      <w:pPr>
        <w:pStyle w:val="Corps"/>
      </w:pPr>
      <w:r>
        <w:t xml:space="preserve">La perte totale résulte de [Total loss preuve]. Les indemnités, recours et éventuels biens de remplacement sont traités selon [Loss proceeds process] sans supposer l'extinction de droits reportés sur un substitut.</w:t>
      </w:r>
    </w:p>
    <w:p>
      <w:pPr>
        <w:pStyle w:val="Corps"/>
      </w:pPr>
      <w:r>
        <w:t xml:space="preserve">La perte est distinguée d'une détérioration réparable ou d'une expropriation. Le sort de toute indemnité est arrêté avant paiement afin de préserver les droits concurrents.</w:t>
      </w:r>
    </w:p>
    <w:p>
      <w:pPr>
        <w:pStyle w:val="Intertitre"/>
      </w:pPr>
      <w:r>
        <w:t xml:space="preserve">Comptes de fin d'usufruit</w:t>
      </w:r>
    </w:p>
    <w:p>
      <w:pPr>
        <w:pStyle w:val="Corps"/>
      </w:pPr>
      <w:r>
        <w:t xml:space="preserve">À l'extinction, les parties arrêtent les comptes, revenus, charges, créances, dettes, indemnités et restitutions dans [Final account tableau]. Les réserves et litiges sont individualisés avant quittance.</w:t>
      </w:r>
    </w:p>
    <w:p>
      <w:pPr>
        <w:pStyle w:val="Corps"/>
      </w:pPr>
      <w:r>
        <w:t xml:space="preserve">Le décompte distingue capital, fruits, dépenses, remboursements et dette de restitution. Chaque solde indique son débiteur, son créancier, son échéance et sa pièce justificative.</w:t>
      </w:r>
    </w:p>
    <w:p>
      <w:pPr>
        <w:pStyle w:val="Intertitre"/>
      </w:pPr>
      <w:r>
        <w:t xml:space="preserve">Restitution et remise</w:t>
      </w:r>
    </w:p>
    <w:p>
      <w:pPr>
        <w:pStyle w:val="Corps"/>
      </w:pPr>
      <w:r>
        <w:t xml:space="preserve">Les biens restituables, documents, clés, registres, fonds et justificatifs sont remis selon [Restitution process]. L'état final est rapproché de l'inventaire initial et des opérations autorisées.</w:t>
      </w:r>
    </w:p>
    <w:p>
      <w:pPr>
        <w:pStyle w:val="Corps"/>
      </w:pPr>
      <w:r>
        <w:t xml:space="preserve">Un procès-verbal constate la date, l'état, les manquants et les réserves. La remise matérielle n'emporte quittance qu'à hauteur des éléments expressément acceptés.</w:t>
      </w:r>
    </w:p>
    <w:p>
      <w:pPr>
        <w:pStyle w:val="Intertitre"/>
      </w:pPr>
      <w:r>
        <w:t xml:space="preserve"> — choisir une seule variante</w:t>
      </w:r>
    </w:p>
    <w:p>
      <w:pPr>
        <w:pStyle w:val="Variante"/>
      </w:pPr>
      <w:r>
        <w:t xml:space="preserve">Variante : Valorisation fiscale déclarée</w:t>
      </w:r>
    </w:p>
    <w:p>
      <w:pPr>
        <w:pStyle w:val="Corps"/>
      </w:pPr>
      <w:r>
        <w:t xml:space="preserve">Lorsque la valorisation fiscale est requise, l'usufruit et la nue-propriété sont évalués selon [Tax valuation justificatif] au regard du barème et de la situation applicables. La convention n'impose pas une valeur fiscale hors de son champ.</w:t>
      </w:r>
    </w:p>
    <w:p>
      <w:pPr>
        <w:pStyle w:val="Corps"/>
      </w:pPr>
      <w:r>
        <w:t xml:space="preserve">Le barème est appliqué à la date et à l'opération concernées, avec les données d'âge ou de durée vérifiées. La valeur économique peut être présentée séparément sans la confondre avec cette valeur fiscale.</w:t>
      </w:r>
    </w:p>
    <w:p>
      <w:pPr>
        <w:pStyle w:val="Variante"/>
      </w:pPr>
      <w:r>
        <w:t xml:space="preserve">Variante : Absence de valorisation fiscale dans la convention</w:t>
      </w:r>
    </w:p>
    <w:p>
      <w:pPr>
        <w:pStyle w:val="Corps"/>
      </w:pPr>
      <w:r>
        <w:t xml:space="preserve">Aucune valeur fiscale n'est arrêtée par la convention selon [No tax valuation reason]. Toute déclaration ou opération ultérieure fera l'objet d'une valorisation distincte et datée.</w:t>
      </w:r>
    </w:p>
    <w:p>
      <w:pPr>
        <w:pStyle w:val="Corps"/>
      </w:pPr>
      <w:r>
        <w:t xml:space="preserve">Cette exclusion est cohérente avec les autres montants du document et évite qu'une valeur de suivi soit présentée comme déclarative. Les parties conservent les évaluations disponibles.</w:t>
      </w:r>
    </w:p>
    <w:p>
      <w:pPr>
        <w:pStyle w:val="Intertitre"/>
      </w:pPr>
      <w:r>
        <w:t xml:space="preserve">Enregistrement, publicité et notifications</w:t>
      </w:r>
    </w:p>
    <w:p>
      <w:pPr>
        <w:pStyle w:val="Corps"/>
      </w:pPr>
      <w:r>
        <w:t xml:space="preserve">Les formalités requises sont recensées dans [Formality tableau] avec leur responsable, échéance, preuve et destinataire. Aucune formalité immobilière, sociale ou fiscale n'est présumée accomplie.</w:t>
      </w:r>
    </w:p>
    <w:p>
      <w:pPr>
        <w:pStyle w:val="Corps"/>
      </w:pPr>
      <w:r>
        <w:t xml:space="preserve">Le registre de suivi est clôturé seulement après réception de chaque justificatif. Un refus, rejet ou demande complémentaire déclenche une action identifiée et datée.</w:t>
      </w:r>
    </w:p>
    <w:p>
      <w:pPr>
        <w:pStyle w:val="Intertitre"/>
      </w:pPr>
      <w:r>
        <w:t xml:space="preserve">Annexes</w:t>
      </w:r>
    </w:p>
    <w:p>
      <w:pPr>
        <w:pStyle w:val="Corps"/>
      </w:pPr>
      <w:r>
        <w:t xml:space="preserve">Sont annexés les documents recensés dans [Annex tableau], comprenant l'acte d'origine, les titres, inventaires, évaluations, statuts, registres, pouvoirs, sûretés, assurances applicables et justificatifs utiles.</w:t>
      </w:r>
    </w:p>
    <w:p>
      <w:pPr>
        <w:pStyle w:val="Corps"/>
      </w:pPr>
      <w:r>
        <w:t xml:space="preserve">Le bordereau numérote les pièces et indique la stipulation qu'elles établissent. Les versions signées ou publiées sont distinguées des projets et documents de travail.</w:t>
      </w:r>
    </w:p>
    <w:p>
      <w:pPr>
        <w:pStyle w:val="Intertitre"/>
      </w:pPr>
      <w:r>
        <w:t xml:space="preserve">Modification de la convention</w:t>
      </w:r>
    </w:p>
    <w:p>
      <w:pPr>
        <w:pStyle w:val="Corps"/>
      </w:pPr>
      <w:r>
        <w:t xml:space="preserve">Toute modification est écrite, signée par les titulaires et représentants requis, contrôlée au regard de l'acte d'origine et soumise aux formalités nécessaires. Le registre des versions est [Amendment register].</w:t>
      </w:r>
    </w:p>
    <w:p>
      <w:pPr>
        <w:pStyle w:val="Corps"/>
      </w:pPr>
      <w:r>
        <w:t xml:space="preserve">L'avenant indique les clauses remplacées, sa date d'effet et son incidence sur les sûretés ou tiers. Il ne modifie jamais implicitement l'acte constitutif.</w:t>
      </w:r>
    </w:p>
    <w:p>
      <w:pPr>
        <w:pStyle w:val="Intertitre"/>
      </w:pPr>
      <w:r>
        <w:t xml:space="preserve">Manquement</w:t>
      </w:r>
    </w:p>
    <w:p>
      <w:pPr>
        <w:pStyle w:val="Corps"/>
      </w:pPr>
      <w:r>
        <w:t xml:space="preserve">Tout manquement est notifié selon [Breach notice process] avec description, preuve, mesure conservatoire et délai de réponse. Les parties recherchent une correction proportionnée sans renoncer aux droits ni délais impératifs.</w:t>
      </w:r>
    </w:p>
    <w:p>
      <w:pPr>
        <w:pStyle w:val="Corps"/>
      </w:pPr>
      <w:r>
        <w:t xml:space="preserve">La notification distingue l'obligation méconnue, le dommage et la mesure demandée. Les régularisations, réserves et coûts sont consignés jusqu'à la clôture du différend.</w:t>
      </w:r>
    </w:p>
    <w:p>
      <w:pPr>
        <w:pStyle w:val="Intertitre"/>
      </w:pPr>
      <w:r>
        <w:t xml:space="preserve">Mesures urgentes</w:t>
      </w:r>
    </w:p>
    <w:p>
      <w:pPr>
        <w:pStyle w:val="Corps"/>
      </w:pPr>
      <w:r>
        <w:t xml:space="preserve">En cas de menace pour le bien, les fonds ou la preuve, la partie diligente peut mettre en œuvre les mesures conservatoires prévues par [Urgent measure process] et en informe immédiatement l'autre partie.</w:t>
      </w:r>
    </w:p>
    <w:p>
      <w:pPr>
        <w:pStyle w:val="Corps"/>
      </w:pPr>
      <w:r>
        <w:t xml:space="preserve">La mesure reste limitée à ce qui est nécessaire pour éviter l'aggravation. Son auteur conserve les constats, devis et notifications permettant un contrôle ultérieur.</w:t>
      </w:r>
    </w:p>
    <w:p>
      <w:pPr>
        <w:pStyle w:val="Intertitre"/>
      </w:pPr>
      <w:r>
        <w:t xml:space="preserve">Règlement des différends</w:t>
      </w:r>
    </w:p>
    <w:p>
      <w:pPr>
        <w:pStyle w:val="Corps"/>
      </w:pPr>
      <w:r>
        <w:t xml:space="preserve">Le différend suit [Dispute resolution process] après tentative amiable compatible avec l'urgence et les délais. La compétence juridictionnelle est déterminée selon [Competent jurisdiction basis] au regard des faits et règles applicables.</w:t>
      </w:r>
    </w:p>
    <w:p>
      <w:pPr>
        <w:pStyle w:val="Corps"/>
      </w:pPr>
      <w:r>
        <w:t xml:space="preserve">La tentative amiable fixe un objet et un délai sans suspendre automatiquement une prescription. Toute clause de compétence est contrôlée selon la qualité des parties et la nature du litige.</w:t>
      </w:r>
    </w:p>
    <w:p>
      <w:pPr>
        <w:pStyle w:val="Intertitre"/>
      </w:pPr>
      <w:r>
        <w:t xml:space="preserve">Clause optionnelle : Signatures</w:t>
      </w:r>
    </w:p>
    <w:p>
      <w:pPr>
        <w:pStyle w:val="Corps"/>
      </w:pPr>
      <w:r>
        <w:t xml:space="preserve">Fait à [Signature place], le [Signature date]. L'usufruitier, le ou les nus-propriétaires et leurs représentants vérifiés signent selon [Signature tableau] et reconnaissent les annexes identifiées.</w:t>
      </w:r>
    </w:p>
    <w:p>
      <w:pPr>
        <w:pStyle w:val="Corps"/>
      </w:pPr>
      <w:r>
        <w:t xml:space="preserve">La version signée est identique pour toutes les parties et comprend le même bordereau. Chaque signature est datée, rattachée à son pouvoir et conservée avec la preuve de remise.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