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CONVENTION D'INDIVISION</w:t>
      </w:r>
    </w:p>
    <w:p>
      <w:pPr>
        <w:pStyle w:val="Intertitre"/>
      </w:pPr>
      <w:r>
        <w:t xml:space="preserve">Indivisaires</w:t>
      </w:r>
    </w:p>
    <w:p>
      <w:pPr>
        <w:pStyle w:val="Corps"/>
      </w:pPr>
      <w:r>
        <w:t xml:space="preserve">La présente convention est conclue entre les indivisaires désignés dans [Indivisaires et quotes-parts]. Leurs identités, capacités, qualités et quotes-parts sont reproduites telles qu'elles ressortent des pièces vérifiées. Pour chacun sont précisés domicile, régime de représentation, titre d'acquisition et coordonnées utiles, sans valeur préremplie ni qualité déduite d'une simple déclaration.</w:t>
      </w:r>
    </w:p>
    <w:p>
      <w:pPr>
        <w:pStyle w:val="Intertitre"/>
      </w:pPr>
      <w:r>
        <w:t xml:space="preserve">Capacité et propriété</w:t>
      </w:r>
    </w:p>
    <w:p>
      <w:pPr>
        <w:pStyle w:val="Corps"/>
      </w:pPr>
      <w:r>
        <w:t xml:space="preserve">Chaque indivisaire déclare disposer de la capacité et des pouvoirs nécessaires au maintien conventionnel de l'indivision. Ces éléments et la propriété des droits sont établis par [Justificatifs de propriété et de capacité]. Toute représentation, mesure de protection, démembrement, sûreté ou limitation connue est décrite et rapprochée de l'acte créant les droits indivis avant signature.</w:t>
      </w:r>
    </w:p>
    <w:p>
      <w:pPr>
        <w:pStyle w:val="Intertitre"/>
      </w:pPr>
      <w:r>
        <w:t xml:space="preserve">Quotes-parts indivises</w:t>
      </w:r>
    </w:p>
    <w:p>
      <w:pPr>
        <w:pStyle w:val="Corps"/>
      </w:pPr>
      <w:r>
        <w:t xml:space="preserve">Les quotes-parts appartenant à chacun sont celles indiquées dans [Indivisaires et quotes-parts] et confirmées par [Justificatifs de propriété et de capacité]. Elles servent de référence aux répartitions prévues sans modifier les titres existants. La convention ne rectifie aucun titre ; une divergence entre pièces, publicité et quotes-parts suspend la signature jusqu'à régularisation par l'acte approprié.</w:t>
      </w:r>
    </w:p>
    <w:p>
      <w:pPr>
        <w:pStyle w:val="Intertitre"/>
      </w:pPr>
      <w:r>
        <w:t xml:space="preserve">Consentement au maintien</w:t>
      </w:r>
    </w:p>
    <w:p>
      <w:pPr>
        <w:pStyle w:val="Corps"/>
      </w:pPr>
      <w:r>
        <w:t xml:space="preserve">Les indivisaires conviennent unanimement de demeurer dans l'indivision pour la durée et selon les modalités du présent acte. Leur consentement porte sur les biens désignés et ne s'étend à aucun bien omis. Chaque indivisaire reçoit le projet et ses annexes, comprend la durée, les règles de gestion, les charges et les modalités de sortie, puis signe sans réserve non consignée.</w:t>
      </w:r>
    </w:p>
    <w:p>
      <w:pPr>
        <w:pStyle w:val="Intertitre"/>
      </w:pPr>
      <w:r>
        <w:t xml:space="preserve">Biens et droits indivis</w:t>
      </w:r>
    </w:p>
    <w:p>
      <w:pPr>
        <w:pStyle w:val="Corps"/>
      </w:pPr>
      <w:r>
        <w:t xml:space="preserve">L'indivision comprend exclusivement les biens, créances et droits suivants : [Biens et droits indivis]. Leur désignation et les quotes-parts correspondantes forment le périmètre matériel de la convention. Chaque élément est rattaché à son titre, sa nature, sa localisation, ses accessoires, son usage et ses charges, sans extension implicite à un bien voisin.</w:t>
      </w:r>
    </w:p>
    <w:p>
      <w:pPr>
        <w:pStyle w:val="Intertitre"/>
      </w:pPr>
      <w:r>
        <w:t xml:space="preserve">Désignation détaillée</w:t>
      </w:r>
    </w:p>
    <w:p>
      <w:pPr>
        <w:pStyle w:val="Corps"/>
      </w:pPr>
      <w:r>
        <w:t xml:space="preserve">Les références, caractéristiques, dépendances, droits accessoires et charges utiles à l'identification des biens sont décrits dans [Désignation détaillée des biens]. Cette désignation prévaut sur toute description abrégée. Pour un immeuble, elle reprend notamment adresse, cadastre, lots, surfaces, origine, servitudes et situation publiée ; pour un autre droit, ses références propres.</w:t>
      </w:r>
    </w:p>
    <w:p>
      <w:pPr>
        <w:pStyle w:val="Intertitre"/>
      </w:pPr>
      <w:r>
        <w:t xml:space="preserve">Titres et pièces</w:t>
      </w:r>
    </w:p>
    <w:p>
      <w:pPr>
        <w:pStyle w:val="Corps"/>
      </w:pPr>
      <w:r>
        <w:t xml:space="preserve">Les titres, états, attestations et autres pièces servant à établir la composition de l'indivision sont identifiés par [Titres et pièces annexées]. Ils sont annexés ou conservés avec une référence certaine. Le bordereau indique titre, date, auteur, version et emplacement de conservation ; toute pièce manquante ou incohérente est signalée avant la signature.</w:t>
      </w:r>
    </w:p>
    <w:p>
      <w:pPr>
        <w:pStyle w:val="Intertitre"/>
      </w:pPr>
      <w:r>
        <w:t xml:space="preserve">Limitation du périmètre</w:t>
      </w:r>
    </w:p>
    <w:p>
      <w:pPr>
        <w:pStyle w:val="Corps"/>
      </w:pPr>
      <w:r>
        <w:t xml:space="preserve">Aucun bien ou droit n'entre dans le champ de la convention par simple destination, usage commun ou paiement partagé. Toute extension suppose un écrit identifiant le bien et les quotes-parts concernées. Les revenus, comptes, meubles ou travaux liés à un bien n'entrent dans l'indivision que si leur titre ou l'accord exprès le prévoit clairement.</w:t>
      </w:r>
    </w:p>
    <w:p>
      <w:pPr>
        <w:pStyle w:val="Intertitre"/>
      </w:pPr>
      <w:r>
        <w:t xml:space="preserve">Durée de la convention — choisir une seule variante</w:t>
      </w:r>
    </w:p>
    <w:p>
      <w:pPr>
        <w:pStyle w:val="Variante"/>
      </w:pPr>
      <w:r>
        <w:t xml:space="preserve">Variante : Durée déterminée</w:t>
      </w:r>
    </w:p>
    <w:p>
      <w:pPr>
        <w:pStyle w:val="Corps"/>
      </w:pPr>
      <w:r>
        <w:t xml:space="preserve">La convention prend effet le [Date d'entrée en vigueur] et expire le [Date de fin]. Son renouvellement obéit à [Conditions de renouvellement] et le partage anticipé demeure soumis aux causes permettant d'écarter le terme convenu. Toute prorogation est décidée et formalisée avant l'échéance, avec contrôle des titres, comptes, pouvoirs et formalités requises par la nature des biens.</w:t>
      </w:r>
    </w:p>
    <w:p>
      <w:pPr>
        <w:pStyle w:val="Variante"/>
      </w:pPr>
      <w:r>
        <w:t xml:space="preserve">Variante : Durée indéterminée</w:t>
      </w:r>
    </w:p>
    <w:p>
      <w:pPr>
        <w:pStyle w:val="Corps"/>
      </w:pPr>
      <w:r>
        <w:t xml:space="preserve">La convention prend effet le [Date d'entrée en vigueur] sans terme fixé. Sa dénonciation et la demande de partage sont exercées selon [Modalités de dénonciation et de partage], sans mauvaise foi ni mise en œuvre à contretemps. La notification précise auteur, destinataires, date et effet ; elle ouvre un processus ordonné de comptes, valorisation et partage sans priver chacun de ses droits.</w:t>
      </w:r>
    </w:p>
    <w:p>
      <w:pPr>
        <w:pStyle w:val="Intertitre"/>
      </w:pPr>
      <w:r>
        <w:t xml:space="preserve">Prise d'effet</w:t>
      </w:r>
    </w:p>
    <w:p>
      <w:pPr>
        <w:pStyle w:val="Corps"/>
      </w:pPr>
      <w:r>
        <w:t xml:space="preserve">Les droits et obligations organisés par la convention s'appliquent à compter du [Date d'entrée en vigueur]. Les comptes antérieurs restent régis par leurs titres et justificatifs, sauf accord exprès repris au présent acte. Un état d'ouverture recense actifs, dettes, revenus, dépenses, occupations, comptes et pièces afin de distinguer la période conventionnelle des rapports antérieurs.</w:t>
      </w:r>
    </w:p>
    <w:p>
      <w:pPr>
        <w:pStyle w:val="Intertitre"/>
      </w:pPr>
      <w:r>
        <w:t xml:space="preserve">Règles de décision</w:t>
      </w:r>
    </w:p>
    <w:p>
      <w:pPr>
        <w:pStyle w:val="Corps"/>
      </w:pPr>
      <w:r>
        <w:t xml:space="preserve">Les décisions relatives à l'administration, la conservation, l'exploitation et la disposition des biens sont prises selon [Règles de décision]. Chaque décision est retracée avec son objet et ses participants. Le mécanisme précise majorité, base de calcul, consultation, délai, preuve, urgence et traitement du conflit d'intérêts, sans permettre une décision hors compétence.</w:t>
      </w:r>
    </w:p>
    <w:p>
      <w:pPr>
        <w:pStyle w:val="Intertitre"/>
      </w:pPr>
      <w:r>
        <w:t xml:space="preserve">Décisions réservées</w:t>
      </w:r>
    </w:p>
    <w:p>
      <w:pPr>
        <w:pStyle w:val="Corps"/>
      </w:pPr>
      <w:r>
        <w:t xml:space="preserve">Les actes étrangers à la gestion courante, ceux qui modifient la substance des biens ou engagent durablement l'indivision restent soumis aux accords exigés par la loi et par [Règles de décision]. Sont notamment contrôlés les actes de disposition, emprunts, sûretés, baux significatifs, travaux structurants et changements de destination selon leur régime applicable.</w:t>
      </w:r>
    </w:p>
    <w:p>
      <w:pPr>
        <w:pStyle w:val="Intertitre"/>
      </w:pPr>
      <w:r>
        <w:t xml:space="preserve">Clause optionnelle : Désignation du gérant</w:t>
      </w:r>
    </w:p>
    <w:p>
      <w:pPr>
        <w:pStyle w:val="Corps"/>
      </w:pPr>
      <w:r>
        <w:t xml:space="preserve">[Nom du gestionnaire] est nommé gérant pour [Durée du mandat de gestion]. Ses pouvoirs sont délimités par [Pouvoirs du gérant], sa reddition de comptes suit [Modalités de reddition des comptes] et sa rémunération est [Rémunération du gérant]. L'acceptation, les conflits, les actes autorisés, les limites financières, la révocation, la fin de mandat et la remise des pièces sont expressément organisés.</w:t>
      </w:r>
    </w:p>
    <w:p>
      <w:pPr>
        <w:pStyle w:val="Intertitre"/>
      </w:pPr>
      <w:r>
        <w:t xml:space="preserve">Traçabilité des actes</w:t>
      </w:r>
    </w:p>
    <w:p>
      <w:pPr>
        <w:pStyle w:val="Corps"/>
      </w:pPr>
      <w:r>
        <w:t xml:space="preserve">Les décisions, mandats, engagements et paiements accomplis pour l'indivision sont consignés de manière à identifier leur auteur, leur fondement et les pièces correspondantes selon [Modalités de reddition des comptes]. Le registre associe à chaque opération la décision, le contrat, la facture, le paiement et l'imputation, et demeure accessible aux indivisaires selon les modalités convenues.</w:t>
      </w:r>
    </w:p>
    <w:p>
      <w:pPr>
        <w:pStyle w:val="Intertitre"/>
      </w:pPr>
      <w:r>
        <w:t xml:space="preserve">Reddition des comptes</w:t>
      </w:r>
    </w:p>
    <w:p>
      <w:pPr>
        <w:pStyle w:val="Corps"/>
      </w:pPr>
      <w:r>
        <w:t xml:space="preserve">Un compte de gestion est présenté aux indivisaires suivant [Modalités de reddition des comptes]. Il distingue produits, dépenses, avances, dettes, provisions et mouvements affectant les comptes individuels.</w:t>
      </w:r>
    </w:p>
    <w:p>
      <w:pPr>
        <w:pStyle w:val="Corps"/>
      </w:pPr>
      <w:r>
        <w:t xml:space="preserve">Le gérant présente un état annuel des recettes, dépenses, dettes, créances et mouvements de trésorerie, accompagné des justificatifs et relevés utiles. Les indivisaires disposent d'un délai pour formuler leurs observations. L'approbation des comptes ne couvre ni une opération dissimulée ni une pièce indisponible. Le compte indique aussi les soldes d'ouverture et de clôture, la situation de chaque indivisaire et les engagements restant à payer ou à recouvrer.</w:t>
      </w:r>
    </w:p>
    <w:p>
      <w:pPr>
        <w:pStyle w:val="Intertitre"/>
      </w:pPr>
      <w:r>
        <w:t xml:space="preserve">Usage des biens</w:t>
      </w:r>
    </w:p>
    <w:p>
      <w:pPr>
        <w:pStyle w:val="Corps"/>
      </w:pPr>
      <w:r>
        <w:t xml:space="preserve">Chaque indivisaire use des biens conformément à leur destination, aux droits des autres indivisaires et aux actes régulièrement conclus. Les conditions communes d'usage résultent de [Conditions d'occupation]. Les plages, clés, assurances, entretien, invités, travaux et responsabilités sont définis lorsque nécessaires, sans instaurer une jouissance exclusive non décidée.</w:t>
      </w:r>
    </w:p>
    <w:p>
      <w:pPr>
        <w:pStyle w:val="Intertitre"/>
      </w:pPr>
      <w:r>
        <w:t xml:space="preserve">Clause optionnelle : Jouissance privative</w:t>
      </w:r>
    </w:p>
    <w:p>
      <w:pPr>
        <w:pStyle w:val="Corps"/>
      </w:pPr>
      <w:r>
        <w:t xml:space="preserve">[Occupant indivisaire] bénéficie d'une jouissance privative portant sur [Périmètre de jouissance privative] selon [Conditions d'occupation]. L'indemnité due au titre de cette occupation est fixée à [Indemnité d'occupation]. La durée, les accès, charges, entretien, assurance, restitution et révision de l'indemnité sont précisés ; cette jouissance ne modifie pas les quotes-parts.</w:t>
      </w:r>
    </w:p>
    <w:p>
      <w:pPr>
        <w:pStyle w:val="Intertitre"/>
      </w:pPr>
      <w:r>
        <w:t xml:space="preserve">Préservation et accès</w:t>
      </w:r>
    </w:p>
    <w:p>
      <w:pPr>
        <w:pStyle w:val="Corps"/>
      </w:pPr>
      <w:r>
        <w:t xml:space="preserve">L'usage de chacun doit préserver la destination, la sécurité et la valeur des biens. Les accès nécessaires à l'entretien, aux contrôles et aux interventions communes sont organisés par [Conditions d'occupation]. Tout dommage, besoin urgent ou obstacle d'accès est signalé sans délai, avec mesures proportionnées et conservation des preuves utiles aux comptes et assurances.</w:t>
      </w:r>
    </w:p>
    <w:p>
      <w:pPr>
        <w:pStyle w:val="Intertitre"/>
      </w:pPr>
      <w:r>
        <w:t xml:space="preserve">Répartition des dépenses</w:t>
      </w:r>
    </w:p>
    <w:p>
      <w:pPr>
        <w:pStyle w:val="Corps"/>
      </w:pPr>
      <w:r>
        <w:t xml:space="preserve">Les taxes, primes, charges, frais de conservation et dépenses autorisées sont répartis selon [Répartition des dépenses]. Chaque imputation repose sur les justificatifs identifiés dans [Justificatifs de dépenses].</w:t>
      </w:r>
    </w:p>
    <w:p>
      <w:pPr>
        <w:pStyle w:val="Corps"/>
      </w:pPr>
      <w:r>
        <w:t xml:space="preserve">Les dépenses sont classées entre charges courantes, dépenses de conservation, améliorations et investissements. La convention précise leur clé de répartition, l'autorité pouvant les engager, les justificatifs à produire et le traitement d'une avance supportée par un seul indivisaire. Les dépenses personnelles ou étrangères au bien restent à la charge de leur auteur. Les dépenses urgentes nécessaires à la conservation sont signalées et justifiées ; leur remboursement n'est acquis qu'après contrôle de leur nécessité, montant et imputation.</w:t>
      </w:r>
    </w:p>
    <w:p>
      <w:pPr>
        <w:pStyle w:val="Intertitre"/>
      </w:pPr>
      <w:r>
        <w:t xml:space="preserve">Appels de fonds</w:t>
      </w:r>
    </w:p>
    <w:p>
      <w:pPr>
        <w:pStyle w:val="Corps"/>
      </w:pPr>
      <w:r>
        <w:t xml:space="preserve">Les besoins de trésorerie de l'indivision sont financés selon [Appels de fonds]. Tout appel précise son objet, son échéance, la quote-part appelée et les pièces permettant d'en contrôler l'emploi. Le circuit prévoit compte destinataire, preuve du versement, relance, avance éventuelle d'un indivisaire et inscription de toute créance sans pénalité inventée.</w:t>
      </w:r>
    </w:p>
    <w:p>
      <w:pPr>
        <w:pStyle w:val="Intertitre"/>
      </w:pPr>
      <w:r>
        <w:t xml:space="preserve">Encaissement des produits</w:t>
      </w:r>
    </w:p>
    <w:p>
      <w:pPr>
        <w:pStyle w:val="Corps"/>
      </w:pPr>
      <w:r>
        <w:t xml:space="preserve">Les loyers, fruits et autres produits sont encaissés sur [Compte d'encaissement] puis répartis selon [Répartition des produits]. Les retenues nécessaires sont limitées aux charges et provisions justifiées. Les relevés permettent de rapprocher chaque encaissement de sa source, de retenir les montants décidés et de distribuer le solde sans compensation opaque.</w:t>
      </w:r>
    </w:p>
    <w:p>
      <w:pPr>
        <w:pStyle w:val="Intertitre"/>
      </w:pPr>
      <w:r>
        <w:t xml:space="preserve">Provisions et comptes individuels</w:t>
      </w:r>
    </w:p>
    <w:p>
      <w:pPr>
        <w:pStyle w:val="Corps"/>
      </w:pPr>
      <w:r>
        <w:t xml:space="preserve">Les provisions sont constituées conformément à [Règles de provision]. Les avances, dépenses personnelles, produits distribués et indemnités sont portés aux comptes suivant [Comptes entre indivisaires].</w:t>
      </w:r>
    </w:p>
    <w:p>
      <w:pPr>
        <w:pStyle w:val="Corps"/>
      </w:pPr>
      <w:r>
        <w:t xml:space="preserve">Une provision peut être constituée pour les charges prévisibles ou travaux décidés. Les appels, emplois et restitutions sont retracés dans un compte distinct; les avances individuelles donnent lieu à une créance identifiée sans modifier, à elles seules, les droits de propriété dans l'indivision. Chaque compte individuel détaille date, nature, pièce, décision et solde ; il peut être contesté lors de la reddition sans transformer une avance en quote-part.</w:t>
      </w:r>
    </w:p>
    <w:p>
      <w:pPr>
        <w:pStyle w:val="Intertitre"/>
      </w:pPr>
      <w:r>
        <w:t xml:space="preserve">Cession de droits indivis</w:t>
      </w:r>
    </w:p>
    <w:p>
      <w:pPr>
        <w:pStyle w:val="Corps"/>
      </w:pPr>
      <w:r>
        <w:t xml:space="preserve">Toute cession ou transmission de droits indivis est conduite selon [Procédure de cession]. Le cédant fournit les informations nécessaires à l'exercice des droits des autres indivisaires et aux formalités. Les notifications, droits de préemption éventuels, agréments, pièces, prix, frais et publicité sont traités selon le bien et la qualité du bénéficiaire réels.</w:t>
      </w:r>
    </w:p>
    <w:p>
      <w:pPr>
        <w:pStyle w:val="Intertitre"/>
      </w:pPr>
      <w:r>
        <w:t xml:space="preserve">Notification du projet</w:t>
      </w:r>
    </w:p>
    <w:p>
      <w:pPr>
        <w:pStyle w:val="Corps"/>
      </w:pPr>
      <w:r>
        <w:t xml:space="preserve">Le projet de cession est notifié dans les formes prévues par [Procédure de cession] avec l'identité du bénéficiaire, les droits concernés et les conditions de l'opération, sans valeur ou modalité présumée. La preuve de réception et le délai sont conservés ; toute modification substantielle du bénéficiaire, des droits ou du prix donne lieu à une nouvelle notification si requise.</w:t>
      </w:r>
    </w:p>
    <w:p>
      <w:pPr>
        <w:pStyle w:val="Intertitre"/>
      </w:pPr>
      <w:r>
        <w:t xml:space="preserve">Valorisation des droits</w:t>
      </w:r>
    </w:p>
    <w:p>
      <w:pPr>
        <w:pStyle w:val="Corps"/>
      </w:pPr>
      <w:r>
        <w:t xml:space="preserve">La valeur servant aux opérations entre indivisaires ou avec un tiers est déterminée selon [Méthode de valorisation]. Les données, hypothèses et pièces retenues sont communiquées aux personnes concernées. La méthode précise date de valeur, hypothèses, décotes ou charges, expert éventuel, procédure contradictoire et traitement d'un désaccord, sans montant par défaut.</w:t>
      </w:r>
    </w:p>
    <w:p>
      <w:pPr>
        <w:pStyle w:val="Intertitre"/>
      </w:pPr>
      <w:r>
        <w:t xml:space="preserve">Sortie d'un indivisaire</w:t>
      </w:r>
    </w:p>
    <w:p>
      <w:pPr>
        <w:pStyle w:val="Corps"/>
      </w:pPr>
      <w:r>
        <w:t xml:space="preserve">La sortie volontaire, la cession, l'attribution ou le partage amiable sont organisés selon [Procédure de sortie]. La procédure identifie les droits transférés et les formalités à accomplir. Le calendrier couvre notification, titres, estimation, financement, acte, paiement, remise, comptes et publicité, tout en préservant les droits des tiers et créanciers.</w:t>
      </w:r>
    </w:p>
    <w:p>
      <w:pPr>
        <w:pStyle w:val="Intertitre"/>
      </w:pPr>
      <w:r>
        <w:t xml:space="preserve">Partage et réalisation des biens</w:t>
      </w:r>
    </w:p>
    <w:p>
      <w:pPr>
        <w:pStyle w:val="Corps"/>
      </w:pPr>
      <w:r>
        <w:t xml:space="preserve">Lorsqu'un partage ou une vente est engagé, les indivisaires appliquent [Procédure de sortie] et la valorisation [Méthode de valorisation]. Les opérations sont conduites sans confondre prix, soulte et compte d'indivision. L'état liquidatif rapproche actifs, passifs, récompenses ou créances établies et droits de chacun avant attribution, vente ou paiement d'une soulte.</w:t>
      </w:r>
    </w:p>
    <w:p>
      <w:pPr>
        <w:pStyle w:val="Intertitre"/>
      </w:pPr>
      <w:r>
        <w:t xml:space="preserve">Règlement des comptes</w:t>
      </w:r>
    </w:p>
    <w:p>
      <w:pPr>
        <w:pStyle w:val="Corps"/>
      </w:pPr>
      <w:r>
        <w:t xml:space="preserve">La sortie donne lieu à l'arrêté des comptes selon [Comptes entre indivisaires]. Les produits, charges, avances, indemnités et dettes établis sont imputés avant toute répartition définitive. Un décompte contradictoire est communiqué avec justificatifs et délai d'observation ; seuls les montants établis ou acceptés affectent le règlement final.</w:t>
      </w:r>
    </w:p>
    <w:p>
      <w:pPr>
        <w:pStyle w:val="Intertitre"/>
      </w:pPr>
      <w:r>
        <w:t xml:space="preserve">Formalités et signatures</w:t>
      </w:r>
    </w:p>
    <w:p>
      <w:pPr>
        <w:pStyle w:val="Corps"/>
      </w:pPr>
      <w:r>
        <w:t xml:space="preserve">Les formalités requises par la nature des biens sont accomplies selon [Étapes de production]. La convention est signée à [Lieu de signature] le [Date de signature] par [Noms des signataires]. Chaque signataire indique sa qualité et ses pouvoirs. L'acte et ses annexes portent des versions concordantes et sont authentifiés ou publiés lorsqu'une règle l'exige.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