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PRESTATIONS DE DIRECTION ET DE MANAGEMENT</w:t>
      </w:r>
    </w:p>
    <w:p>
      <w:pPr>
        <w:pStyle w:val="Intertitre"/>
      </w:pPr>
      <w:r>
        <w:t xml:space="preserve">Société prestataire</w:t>
      </w:r>
    </w:p>
    <w:p>
      <w:pPr>
        <w:pStyle w:val="Corps"/>
      </w:pPr>
      <w:r>
        <w:t xml:space="preserve">La convention est conclue par [Société prestataire] en qualité de prestataire. Son identité, son activité, ses pouvoirs de signature et ses liens avec la bénéficiaire sont établis par [Liens entre les sociétés et pouvoirs]. La prestataire agit comme cocontractant autonome et demeure responsable de l'organisation, du coût et de la preuve des moyens qu'elle affecte aux services.</w:t>
      </w:r>
    </w:p>
    <w:p>
      <w:pPr>
        <w:pStyle w:val="Intertitre"/>
      </w:pPr>
      <w:r>
        <w:t xml:space="preserve">Société bénéficiaire</w:t>
      </w:r>
    </w:p>
    <w:p>
      <w:pPr>
        <w:pStyle w:val="Corps"/>
      </w:pPr>
      <w:r>
        <w:t xml:space="preserve">[Société bénéficiaire] conclut la convention en qualité de bénéficiaire des prestations décrites. Ses besoins propres et l'habilitation de son signataire ressortent de [Besoins propres de la bénéficiaire] et [Liens entre les sociétés et pouvoirs]. La bénéficiaire conserve la maîtrise de ses décisions, vérifie l'utilité des services reçus et désigne les personnes habilitées à demander ou accepter une prestation.</w:t>
      </w:r>
    </w:p>
    <w:p>
      <w:pPr>
        <w:pStyle w:val="Intertitre"/>
      </w:pPr>
      <w:r>
        <w:t xml:space="preserve">Liens et pouvoirs</w:t>
      </w:r>
    </w:p>
    <w:p>
      <w:pPr>
        <w:pStyle w:val="Corps"/>
      </w:pPr>
      <w:r>
        <w:t xml:space="preserve">Les liens capitalistiques, contractuels ou de contrôle et les pouvoirs des représentants sont décrits par [Liens entre les sociétés et pouvoirs]. Ils ne dispensent aucune partie d'exécuter ses obligations propres. Les conventions réglementées, conflits d'intérêts et abstentions éventuelles sont traités séparément par chaque société selon sa forme et ses procédures propres.</w:t>
      </w:r>
    </w:p>
    <w:p>
      <w:pPr>
        <w:pStyle w:val="Intertitre"/>
      </w:pPr>
      <w:r>
        <w:t xml:space="preserve">Contexte des services</w:t>
      </w:r>
    </w:p>
    <w:p>
      <w:pPr>
        <w:pStyle w:val="Corps"/>
      </w:pPr>
      <w:r>
        <w:t xml:space="preserve">Les parties souhaitent organiser des prestations intragroupe répondant aux besoins spécifiques de [Société bénéficiaire], sans confondre assistance opérationnelle et prérogatives de ses organes sociaux. L'appartenance à un même groupe ne présume ni le besoin, ni la réalité, ni le prix de pleine concurrence de chaque prestation facturée.</w:t>
      </w:r>
    </w:p>
    <w:p>
      <w:pPr>
        <w:pStyle w:val="Intertitre"/>
      </w:pPr>
      <w:r>
        <w:t xml:space="preserve">Besoins de la bénéficiaire</w:t>
      </w:r>
    </w:p>
    <w:p>
      <w:pPr>
        <w:pStyle w:val="Corps"/>
      </w:pPr>
      <w:r>
        <w:t xml:space="preserve">La bénéficiaire identifie les besoins suivants : [Besoins propres de la bénéficiaire]. Elle confirme qu'ils présentent pour son activité un intérêt économique ou commercial propre et documentable.</w:t>
      </w:r>
    </w:p>
    <w:p>
      <w:pPr>
        <w:pStyle w:val="Corps"/>
      </w:pPr>
      <w:r>
        <w:t xml:space="preserve">La bénéficiaire décrit les besoins qu'elle ne couvre pas par ses propres fonctions, équipes ou contrats. Chaque mission est rattachée à une utilité identifiable pour son activité et exclut les tâches accomplies dans le seul intérêt de la prestataire ou déjà rémunérées à un autre titre. Cette analyse est réexaminée lors de toute évolution significative du périmètre. Le besoin est rattaché à une fonction, une période et un responsable de la bénéficiaire. Sa justification est conservée avec la commande, les preuves d'exécution et la facture correspondante.</w:t>
      </w:r>
    </w:p>
    <w:p>
      <w:pPr>
        <w:pStyle w:val="Intertitre"/>
      </w:pPr>
      <w:r>
        <w:t xml:space="preserve">Clause optionnelle : Réalité et caractère distinct</w:t>
      </w:r>
    </w:p>
    <w:p>
      <w:pPr>
        <w:pStyle w:val="Corps"/>
      </w:pPr>
      <w:r>
        <w:t xml:space="preserve">Les parties confirment que les prestations répondent à un besoin réel, ne font pas double emploi sans justification avec les moyens de la bénéficiaire et sont distinctes des fonctions attachées à un mandat social. Cette confirmation est renouvelée à chaque modification significative du catalogue, des équipes internes, des prestataires externes ou des fonctions exercées par les dirigeants.</w:t>
      </w:r>
    </w:p>
    <w:p>
      <w:pPr>
        <w:pStyle w:val="Intertitre"/>
      </w:pPr>
      <w:r>
        <w:t xml:space="preserve">Autonomie des sociétés</w:t>
      </w:r>
    </w:p>
    <w:p>
      <w:pPr>
        <w:pStyle w:val="Corps"/>
      </w:pPr>
      <w:r>
        <w:t xml:space="preserve">Chaque société conserve sa personnalité, sa direction, ses décisions et ses risques. La convention ne crée ni société commune, ni mandat général, ni pouvoir de substitution entre leurs organes. Aucun salarié, mandataire ou outil de la prestataire ne peut engager la bénéficiaire sans pouvoir spécial établi pour l'acte concerné.</w:t>
      </w:r>
    </w:p>
    <w:p>
      <w:pPr>
        <w:pStyle w:val="Intertitre"/>
      </w:pPr>
      <w:r>
        <w:t xml:space="preserve">Prestations confiées</w:t>
      </w:r>
    </w:p>
    <w:p>
      <w:pPr>
        <w:pStyle w:val="Corps"/>
      </w:pPr>
      <w:r>
        <w:t xml:space="preserve">La prestataire exécute exclusivement les services décrits dans [Catalogue précis des prestations]. Chaque service est rattaché à un besoin identifié et à un résultat ou une intervention vérifiable. Le catalogue précise pour chaque service son objet, sa fréquence, son responsable, ses données d'entrée, ses livrables et les critères permettant d'en constater l'exécution.</w:t>
      </w:r>
    </w:p>
    <w:p>
      <w:pPr>
        <w:pStyle w:val="Intertitre"/>
      </w:pPr>
      <w:r>
        <w:t xml:space="preserve">Livrables et résultats</w:t>
      </w:r>
    </w:p>
    <w:p>
      <w:pPr>
        <w:pStyle w:val="Corps"/>
      </w:pPr>
      <w:r>
        <w:t xml:space="preserve">Les livrables, rapports, décisions préparatoires et résultats attendus sont définis par [Livrables et résultats attendus]. Leur production ne vaut pas adoption d'une décision réservée à la bénéficiaire. Chaque livrable indique la période couverte, son auteur, sa version et son destinataire. Une décision préparée reste soumise à l'approbation de l'organe compétent.</w:t>
      </w:r>
    </w:p>
    <w:p>
      <w:pPr>
        <w:pStyle w:val="Intertitre"/>
      </w:pPr>
      <w:r>
        <w:t xml:space="preserve">Calendrier et responsabilités</w:t>
      </w:r>
    </w:p>
    <w:p>
      <w:pPr>
        <w:pStyle w:val="Corps"/>
      </w:pPr>
      <w:r>
        <w:t xml:space="preserve">Les services suivent [Calendrier des services] et la matrice [Matrice des responsabilités]. Chaque ligne précise la fréquence, l'échéance, le responsable de production, le valideur et le destinataire. Un retard ou une dépendance est signalé dès son identification, avec son incidence sur les autres livrables.</w:t>
      </w:r>
    </w:p>
    <w:p>
      <w:pPr>
        <w:pStyle w:val="Intertitre"/>
      </w:pPr>
      <w:r>
        <w:t xml:space="preserve">Prestations exclues</w:t>
      </w:r>
    </w:p>
    <w:p>
      <w:pPr>
        <w:pStyle w:val="Corps"/>
      </w:pPr>
      <w:r>
        <w:t xml:space="preserve">Sont exclus les actes relevant exclusivement d'un dirigeant ou d'un organe de la bénéficiaire, les services non demandés, les tâches déjà exécutées sans justification de double emploi et les dépenses d'actionnaire. Sont également exclues les activités d'actionnaire, la surveillance de l'investissement et les coûts qui ne procurent aucun avantage identifiable à la bénéficiaire.</w:t>
      </w:r>
    </w:p>
    <w:p>
      <w:pPr>
        <w:pStyle w:val="Intertitre"/>
      </w:pPr>
      <w:r>
        <w:t xml:space="preserve">Demandes et priorités</w:t>
      </w:r>
    </w:p>
    <w:p>
      <w:pPr>
        <w:pStyle w:val="Corps"/>
      </w:pPr>
      <w:r>
        <w:t xml:space="preserve">Les demandes, leur priorité, leur destinataire et leur validation suivent [Gouvernance opérationnelle]. Aucune prestation étrangère au catalogue n'est réputée commandée par un échange informel. Toute demande hors périmètre fait l'objet d'un examen d'utilité, d'un chiffrage et d'une acceptation écrite avant son commencement.</w:t>
      </w:r>
    </w:p>
    <w:p>
      <w:pPr>
        <w:pStyle w:val="Intertitre"/>
      </w:pPr>
      <w:r>
        <w:t xml:space="preserve">Modification du périmètre</w:t>
      </w:r>
    </w:p>
    <w:p>
      <w:pPr>
        <w:pStyle w:val="Corps"/>
      </w:pPr>
      <w:r>
        <w:t xml:space="preserve">Toute création, suppression ou modification d'un service, d'un livrable, d'un volume ou d'une échéance suit [Procédure de changement]. La demande décrit le besoin, les moyens, le calendrier, le prix et la date d'effet. Aucune modification n'est exécutoire avant l'accord des représentants habilités.</w:t>
      </w:r>
    </w:p>
    <w:p>
      <w:pPr>
        <w:pStyle w:val="Intertitre"/>
      </w:pPr>
      <w:r>
        <w:t xml:space="preserve">Moyens et coopération</w:t>
      </w:r>
    </w:p>
    <w:p>
      <w:pPr>
        <w:pStyle w:val="Corps"/>
      </w:pPr>
      <w:r>
        <w:t xml:space="preserve">La prestataire organise les moyens nécessaires à l'exécution des services. La bénéficiaire fournit les informations, accès et validations prévus par [Gouvernance opérationnelle] sans transférer ses décisions propres. Chaque partie signale sans délai une information manquante, un accès indisponible ou une validation tardive susceptible d'affecter le calendrier ou la qualité du service.</w:t>
      </w:r>
    </w:p>
    <w:p>
      <w:pPr>
        <w:pStyle w:val="Intertitre"/>
      </w:pPr>
      <w:r>
        <w:t xml:space="preserve">Méthode de rémunération — choisir une seule variante</w:t>
      </w:r>
    </w:p>
    <w:p>
      <w:pPr>
        <w:pStyle w:val="Variante"/>
      </w:pPr>
      <w:r>
        <w:t xml:space="preserve">Variante : Rémunération forfaitaire</w:t>
      </w:r>
    </w:p>
    <w:p>
      <w:pPr>
        <w:pStyle w:val="Corps"/>
      </w:pPr>
      <w:r>
        <w:t xml:space="preserve">La rémunération forfaitaire est fixée à [Rémunération forfaitaire] par [Périodicité de facturation]. Elle repose sur [Hypothèses du forfait], lesquels sont revus lorsque le périmètre ou les conditions d'exécution évoluent. Le forfait couvre uniquement le volume et les services compris dans les hypothèses. Les prestations hors hypothèses ne sont facturables qu'après application de la procédure de changement.</w:t>
      </w:r>
    </w:p>
    <w:p>
      <w:pPr>
        <w:pStyle w:val="Variante"/>
      </w:pPr>
      <w:r>
        <w:t xml:space="preserve">Variante : Rémunération au coût majoré</w:t>
      </w:r>
    </w:p>
    <w:p>
      <w:pPr>
        <w:pStyle w:val="Corps"/>
      </w:pPr>
      <w:r>
        <w:t xml:space="preserve">La rémunération comprend les coûts éligibles décrits par [Coûts admissibles], une majoration déterminée selon [Méthode de majoration] et une allocation entre bénéficiaires fondée sur [Clés de répartition]. Les coûts exclus, coûts d'actionnaire, doublons, inefficiences et dépenses sans lien avec le service ne sont pas intégrés dans l'assiette. Chaque clé reflète l'utilisation ou l'avantage attendu.</w:t>
      </w:r>
    </w:p>
    <w:p>
      <w:pPr>
        <w:pStyle w:val="Intertitre"/>
      </w:pPr>
      <w:r>
        <w:t xml:space="preserve">Facturation</w:t>
      </w:r>
    </w:p>
    <w:p>
      <w:pPr>
        <w:pStyle w:val="Corps"/>
      </w:pPr>
      <w:r>
        <w:t xml:space="preserve">Les factures sont émises selon [Périodicité de facturation] et identifient les services, la période, la méthode de calcul et les éléments de preuve associés. Elles ne regroupent pas des prestations non traçables. La facture distingue les prestations individualisables facturées directement des coûts communs répartis selon une clé. Les justificatifs permettent de reproduire chaque montant.</w:t>
      </w:r>
    </w:p>
    <w:p>
      <w:pPr>
        <w:pStyle w:val="Intertitre"/>
      </w:pPr>
      <w:r>
        <w:t xml:space="preserve">Taxes et territorialité</w:t>
      </w:r>
    </w:p>
    <w:p>
      <w:pPr>
        <w:pStyle w:val="Corps"/>
      </w:pPr>
      <w:r>
        <w:t xml:space="preserve">Les factures appliquent le traitement de TVA [Traitement de TVA] au regard de la nature des services, de la localisation et de la qualité des parties. Les justificatifs [Justificatifs de résidence fiscale] sont conservés. Chaque partie demeure responsable de ses déclarations et signale toute modification affectant la territorialité ou les mentions de facture.</w:t>
      </w:r>
    </w:p>
    <w:p>
      <w:pPr>
        <w:pStyle w:val="Intertitre"/>
      </w:pPr>
      <w:r>
        <w:t xml:space="preserve">Paiement et contestation des factures</w:t>
      </w:r>
    </w:p>
    <w:p>
      <w:pPr>
        <w:pStyle w:val="Corps"/>
      </w:pPr>
      <w:r>
        <w:t xml:space="preserve">Les factures sont réglées selon [Conditions de paiement]. Une contestation suit [Procédure de contestation de facture], identifie les services et montants discutés et n'autorise pas la rétention des sommes non contestées. Les conséquences d'un retard sont limitées à [Conséquences du retard] et ne sont appliquées qu'après vérification de leur fondement.</w:t>
      </w:r>
    </w:p>
    <w:p>
      <w:pPr>
        <w:pStyle w:val="Intertitre"/>
      </w:pPr>
      <w:r>
        <w:t xml:space="preserve">Révision de la rémunération</w:t>
      </w:r>
    </w:p>
    <w:p>
      <w:pPr>
        <w:pStyle w:val="Corps"/>
      </w:pPr>
      <w:r>
        <w:t xml:space="preserve">La rémunération et ses hypothèses sont examinées suivant [Calendrier de revue]. Toute modification repose sur des fonctions, actifs, risques, volumes ou données vérifiables et fait l'objet d'un accord écrit. La revue n'a pas d'effet rétroactif sur une prestation déjà réalisée, sauf correction d'une erreur matérielle démontrée et acceptée selon la procédure convenue.</w:t>
      </w:r>
    </w:p>
    <w:p>
      <w:pPr>
        <w:pStyle w:val="Intertitre"/>
      </w:pPr>
      <w:r>
        <w:t xml:space="preserve">Preuves d'exécution</w:t>
      </w:r>
    </w:p>
    <w:p>
      <w:pPr>
        <w:pStyle w:val="Corps"/>
      </w:pPr>
      <w:r>
        <w:t xml:space="preserve">La réalité, la date, le bénéficiaire et l'utilité de chaque prestation sont établis par [Preuves d'exécution]. Les preuves sont rapprochées des factures selon [Procédure de conservation des preuves].</w:t>
      </w:r>
    </w:p>
    <w:p>
      <w:pPr>
        <w:pStyle w:val="Corps"/>
      </w:pPr>
      <w:r>
        <w:t xml:space="preserve">Les preuves d'exécution permettent de relier la facture à une période, une mission, un intervenant et un résultat ou service identifiable. Elles sont conservées avec les demandes, validations et échanges utiles. Une clé de répartition intragroupe ne remplace pas la démonstration de la réalité et de l'intérêt propre de la prestation.</w:t>
      </w:r>
    </w:p>
    <w:p>
      <w:pPr>
        <w:pStyle w:val="Corps"/>
      </w:pPr>
      <w:r>
        <w:t xml:space="preserve">Les documents sont accessibles pendant la durée de contrôle convenue. L'archivage préserve l'intégrité, la date et l'auteur des pièces. L'absence de preuve suffisante est signalée avant facturation et ne peut être compensée par une simple clé de répartition.</w:t>
      </w:r>
    </w:p>
    <w:p>
      <w:pPr>
        <w:pStyle w:val="Intertitre"/>
      </w:pPr>
      <w:r>
        <w:t xml:space="preserve">Suivi de la prestation</w:t>
      </w:r>
    </w:p>
    <w:p>
      <w:pPr>
        <w:pStyle w:val="Corps"/>
      </w:pPr>
      <w:r>
        <w:t xml:space="preserve">La bénéficiaire examine les services et livrables conformément à [Gouvernance opérationnelle]. Toute réserve identifie la prestation concernée, les éléments discutés et la correction attendue.</w:t>
      </w:r>
    </w:p>
    <w:p>
      <w:pPr>
        <w:pStyle w:val="Corps"/>
      </w:pPr>
      <w:r>
        <w:t xml:space="preserve">Les prestations donnent lieu à des livrables, comptes rendus, relevés de temps ou indicateurs adaptés à leur nature. La bénéficiaire peut demander des précisions ou corrections dans un délai raisonnable. L'absence d'observation ne vaut acceptation que pour les éléments effectivement remis et ne couvre pas une prestation inexistante ou étrangère au périmètre. L'acceptation est limitée au livrable et à la période examinés. Une correction n'emporte aucun élargissement tacite du catalogue ni renonciation aux réserves relatives à une autre prestation.</w:t>
      </w:r>
    </w:p>
    <w:p>
      <w:pPr>
        <w:pStyle w:val="Intertitre"/>
      </w:pPr>
      <w:r>
        <w:t xml:space="preserve">Clause optionnelle : Niveaux de service et remèdes</w:t>
      </w:r>
    </w:p>
    <w:p>
      <w:pPr>
        <w:pStyle w:val="Corps"/>
      </w:pPr>
      <w:r>
        <w:t xml:space="preserve">Les prestations identifiées sont mesurées selon [Matrice des niveaux de service]. Les écarts sont constatés à partir des sources convenues et traités selon [Remèdes de niveau de service]. Une mesure correctrice ne dispense pas la prestataire d'achever le service ni la bénéficiaire de documenter précisément la non-conformité.</w:t>
      </w:r>
    </w:p>
    <w:p>
      <w:pPr>
        <w:pStyle w:val="Intertitre"/>
      </w:pPr>
      <w:r>
        <w:t xml:space="preserve">Piste d'audit</w:t>
      </w:r>
    </w:p>
    <w:p>
      <w:pPr>
        <w:pStyle w:val="Corps"/>
      </w:pPr>
      <w:r>
        <w:t xml:space="preserve">Les demandes, temps, livrables, allocations, validations et factures sont conservés selon [Procédure de conservation des preuves]. La piste d'audit permet de relier chaque charge à un service réellement rendu. Les extractions, journaux et pièces sont indexés par service et période afin de permettre un contrôle comptable, fiscal et opérationnel sans reconstruction approximative.</w:t>
      </w:r>
    </w:p>
    <w:p>
      <w:pPr>
        <w:pStyle w:val="Intertitre"/>
      </w:pPr>
      <w:r>
        <w:t xml:space="preserve">Clause optionnelle : Personnel mis à disposition</w:t>
      </w:r>
    </w:p>
    <w:p>
      <w:pPr>
        <w:pStyle w:val="Corps"/>
      </w:pPr>
      <w:r>
        <w:t xml:space="preserve">Le personnel concerné est identifié dans [Personnel mis à disposition]. Les fonctions, l'autorité, le temps, les coûts, la sécurité et les conditions d'intervention sont organisés par [Conditions de mise à disposition]. La liste est tenue à jour lors de toute arrivée, sortie ou modification d'accès. La mise à disposition ne transfère pas le contrat de travail ni le pouvoir disciplinaire.</w:t>
      </w:r>
    </w:p>
    <w:p>
      <w:pPr>
        <w:pStyle w:val="Intertitre"/>
      </w:pPr>
      <w:r>
        <w:t xml:space="preserve">Autorité sur le personnel</w:t>
      </w:r>
    </w:p>
    <w:p>
      <w:pPr>
        <w:pStyle w:val="Corps"/>
      </w:pPr>
      <w:r>
        <w:t xml:space="preserve">La prestataire demeure responsable de l'organisation de ses équipes, tandis que la bénéficiaire exerce uniquement les prérogatives expressément prévues pour la réalisation des services et la sécurité. Les instructions fonctionnelles de la bénéficiaire restent limitées au résultat attendu, aux priorités et à la sécurité, sans intervenir dans la gestion individuelle du personnel.</w:t>
      </w:r>
    </w:p>
    <w:p>
      <w:pPr>
        <w:pStyle w:val="Intertitre"/>
      </w:pPr>
      <w:r>
        <w:t xml:space="preserve">Clause optionnelle : Sous-traitance</w:t>
      </w:r>
    </w:p>
    <w:p>
      <w:pPr>
        <w:pStyle w:val="Corps"/>
      </w:pPr>
      <w:r>
        <w:t xml:space="preserve">La prestataire ne confie une partie des services qu'aux sous-traitants [Sous-traitants autorisés] et selon [Contrôles de sous-traitance]. Elle demeure responsable de leurs actes, vérifie leurs compétences et leur impose des obligations équivalentes de confidentialité, sécurité, preuve et restitution. Tout remplacement suit la procédure d'information ou d'autorisation convenue.</w:t>
      </w:r>
    </w:p>
    <w:p>
      <w:pPr>
        <w:pStyle w:val="Intertitre"/>
      </w:pPr>
      <w:r>
        <w:t xml:space="preserve">Clause optionnelle : Droits sur les livrables</w:t>
      </w:r>
    </w:p>
    <w:p>
      <w:pPr>
        <w:pStyle w:val="Corps"/>
      </w:pPr>
      <w:r>
        <w:t xml:space="preserve">Les livrables protégés sont [Livrables protégés]. Les droits correspondants sont attribués selon [Attribution des droits de propriété intellectuelle], avec une délimitation de leur étendue, destination, durée et territoire. L'attribution distingue les droits cédés ou concédés, les modalités d'exploitation et les éléments tiers. Aucun droit n'est transféré au-delà de ce qui est expressément identifié.</w:t>
      </w:r>
    </w:p>
    <w:p>
      <w:pPr>
        <w:pStyle w:val="Intertitre"/>
      </w:pPr>
      <w:r>
        <w:t xml:space="preserve">Droits antérieurs</w:t>
      </w:r>
    </w:p>
    <w:p>
      <w:pPr>
        <w:pStyle w:val="Corps"/>
      </w:pPr>
      <w:r>
        <w:t xml:space="preserve">Chaque partie conserve les droits, méthodes, outils, données et savoir-faire antérieurs identifiés dans [Droits d'antérieurs]. Leur utilisation pour les services n'emporte aucun transfert implicite. La prestataire accorde seulement les droits d'usage indispensables à l'exploitation des livrables pendant la durée et pour la destination convenues.</w:t>
      </w:r>
    </w:p>
    <w:p>
      <w:pPr>
        <w:pStyle w:val="Intertitre"/>
      </w:pPr>
      <w:r>
        <w:t xml:space="preserve">Confidentialité</w:t>
      </w:r>
    </w:p>
    <w:p>
      <w:pPr>
        <w:pStyle w:val="Corps"/>
      </w:pPr>
      <w:r>
        <w:t xml:space="preserve">Chaque partie protège [Informations confidentielles] pendant [Durée de confidentialité]. Elle limite l'accès aux personnes ayant besoin d'en connaître et impose une obligation équivalente à ses intervenants. Les exceptions et divulgations imposées sont traitées selon [Exceptions de confidentialité] et font l'objet d'une preuve conservée.</w:t>
      </w:r>
    </w:p>
    <w:p>
      <w:pPr>
        <w:pStyle w:val="Intertitre"/>
      </w:pPr>
      <w:r>
        <w:t xml:space="preserve">Clause optionnelle : Données à caractère personnel</w:t>
      </w:r>
    </w:p>
    <w:p>
      <w:pPr>
        <w:pStyle w:val="Corps"/>
      </w:pPr>
      <w:r>
        <w:t xml:space="preserve">Lorsque la prestataire traite des données pour le compte de la bénéficiaire, les traitements sont décrits par [Description des traitements] et exécutés uniquement sur instruction documentée. Les mesures [Mesures de sécurité des données] et les règles relatives aux sous-traitants ultérieurs [Règles de sous-traitants ultérieurs] sont appliquées pendant toute la durée des traitements.</w:t>
      </w:r>
    </w:p>
    <w:p>
      <w:pPr>
        <w:pStyle w:val="Intertitre"/>
      </w:pPr>
      <w:r>
        <w:t xml:space="preserve">Accès, outils et sécurité</w:t>
      </w:r>
    </w:p>
    <w:p>
      <w:pPr>
        <w:pStyle w:val="Corps"/>
      </w:pPr>
      <w:r>
        <w:t xml:space="preserve">Les accès aux locaux, systèmes, comptes et données suivent [Règles d'accès et de sécurité]. Ils sont nominatifs, limités au besoin, revus périodiquement et retirés dès qu'ils ne sont plus nécessaires. Tout incident est qualifié, contenu, documenté et notifié selon [Procédure d'incident de sécurité].</w:t>
      </w:r>
    </w:p>
    <w:p>
      <w:pPr>
        <w:pStyle w:val="Intertitre"/>
      </w:pPr>
      <w:r>
        <w:t xml:space="preserve">Gouvernance opérationnelle</w:t>
      </w:r>
    </w:p>
    <w:p>
      <w:pPr>
        <w:pStyle w:val="Corps"/>
      </w:pPr>
      <w:r>
        <w:t xml:space="preserve">Les interlocuteurs, circuits de demande, arbitrages, niveaux de service et validations sont organisés par [Gouvernance opérationnelle]. Les décisions sont consignées avec leur auteur et leur portée. Les arbitrages ayant un effet sur le périmètre, le prix ou un engagement juridique sont soumis aux représentants habilités et ne peuvent résulter du seul compte rendu opérationnel.</w:t>
      </w:r>
    </w:p>
    <w:p>
      <w:pPr>
        <w:pStyle w:val="Intertitre"/>
      </w:pPr>
      <w:r>
        <w:t xml:space="preserve">Revue périodique</w:t>
      </w:r>
    </w:p>
    <w:p>
      <w:pPr>
        <w:pStyle w:val="Corps"/>
      </w:pPr>
      <w:r>
        <w:t xml:space="preserve">Les parties examinent selon [Calendrier de revue] les besoins, prestations réalisées, preuves, coûts, clés de répartition, qualité et éventuels écarts afin d'arrêter les ajustements justifiés. La revue produit un relevé des décisions, écarts, corrections, volumes et hypothèses à maintenir. Toute modification contractuelle suit la procédure de changement.</w:t>
      </w:r>
    </w:p>
    <w:p>
      <w:pPr>
        <w:pStyle w:val="Intertitre"/>
      </w:pPr>
      <w:r>
        <w:t xml:space="preserve">Autorisations et conformité</w:t>
      </w:r>
    </w:p>
    <w:p>
      <w:pPr>
        <w:pStyle w:val="Corps"/>
      </w:pPr>
      <w:r>
        <w:t xml:space="preserve">Chaque partie accomplit les autorisations, déclarations, procédures de convention réglementée, contrôles comptables et obligations fiscales décrits par [Autorisations et contrôles de conformité]. Les parties identifient la société responsable de chaque formalité et conservent sa preuve. Une autorisation manquante suspend uniquement l'activité concernée lorsqu'elle est nécessaire à son exécution.</w:t>
      </w:r>
    </w:p>
    <w:p>
      <w:pPr>
        <w:pStyle w:val="Intertitre"/>
      </w:pPr>
      <w:r>
        <w:t xml:space="preserve">Conflits d'intérêts et documentation</w:t>
      </w:r>
    </w:p>
    <w:p>
      <w:pPr>
        <w:pStyle w:val="Corps"/>
      </w:pPr>
      <w:r>
        <w:t xml:space="preserve">Les conflits d'intérêts, abstentions, approbations et documents de prix applicables sont traités selon [Autorisations et contrôles de conformité]. La convention ne vaut pas accomplissement automatique de ces formalités. Les dossiers de prix de transfert, décisions sociales et justificatifs fiscaux sont cohérents avec les services réellement fournis et les montants effectivement facturés.</w:t>
      </w:r>
    </w:p>
    <w:p>
      <w:pPr>
        <w:pStyle w:val="Intertitre"/>
      </w:pPr>
      <w:r>
        <w:t xml:space="preserve">Responsabilité</w:t>
      </w:r>
    </w:p>
    <w:p>
      <w:pPr>
        <w:pStyle w:val="Corps"/>
      </w:pPr>
      <w:r>
        <w:t xml:space="preserve">Chaque partie répond des obligations qui lui incombent selon [Responsabilité et assurance]. Les limites, exclusions et assurances s'apprécient au regard des services effectivement confiés et des préjudices établis. La responsabilité suppose un manquement établi, un préjudice direct prouvé et un lien de causalité. Aucune limitation ne couvre une exclusion interdite par les règles impératives applicables.</w:t>
      </w:r>
    </w:p>
    <w:p>
      <w:pPr>
        <w:pStyle w:val="Intertitre"/>
      </w:pPr>
      <w:r>
        <w:t xml:space="preserve">Assurances</w:t>
      </w:r>
    </w:p>
    <w:p>
      <w:pPr>
        <w:pStyle w:val="Corps"/>
      </w:pPr>
      <w:r>
        <w:t xml:space="preserve">Chaque partie maintient les garanties [Assurances requises] correspondant aux risques dont elle répond. Elle remet [Justificatifs d'assurance] sur demande et signale toute suspension ou réduction significative. L'assurance ne limite pas la responsabilité contractuelle et l'attestation ne vaut pas preuve d'une garantie au-delà de ses termes.</w:t>
      </w:r>
    </w:p>
    <w:p>
      <w:pPr>
        <w:pStyle w:val="Intertitre"/>
      </w:pPr>
      <w:r>
        <w:t xml:space="preserve">Suspension des services</w:t>
      </w:r>
    </w:p>
    <w:p>
      <w:pPr>
        <w:pStyle w:val="Corps"/>
      </w:pPr>
      <w:r>
        <w:t xml:space="preserve">Les services concernés peuvent être suspendus uniquement dans les cas [Cas de suspension] et selon [Procédure de suspension]. La partie qui suspend limite la mesure au risque ou au manquement identifié, préserve les opérations indispensables et permet la reprise dès que la cause a disparu ou qu'un remède vérifiable est exécuté.</w:t>
      </w:r>
    </w:p>
    <w:p>
      <w:pPr>
        <w:pStyle w:val="Intertitre"/>
      </w:pPr>
      <w:r>
        <w:t xml:space="preserve">Durée et cessation</w:t>
      </w:r>
    </w:p>
    <w:p>
      <w:pPr>
        <w:pStyle w:val="Corps"/>
      </w:pPr>
      <w:r>
        <w:t xml:space="preserve">La convention s'applique pendant [Durée de la convention] et peut cesser selon [Conditions de résiliation]. La cessation organise les prestations en cours, les preuves, les factures, les accès et les restitutions. Les causes, préavis, notifications et remèdes sont appliqués à la situation vérifiée. La cessation ne libère pas les parties des obligations destinées à survivre.</w:t>
      </w:r>
    </w:p>
    <w:p>
      <w:pPr>
        <w:pStyle w:val="Intertitre"/>
      </w:pPr>
      <w:r>
        <w:t xml:space="preserve">Assistance de sortie</w:t>
      </w:r>
    </w:p>
    <w:p>
      <w:pPr>
        <w:pStyle w:val="Corps"/>
      </w:pPr>
      <w:r>
        <w:t xml:space="preserve">À la cessation, la prestataire fournit l'assistance décrite par [Assistance de sortie] afin d'assurer la continuité et le transfert ordonné des services. Cette assistance identifie les responsables, livrables, accès, connaissances, calendrier et prix, sans prolonger implicitement les autres prestations au-delà du terme.</w:t>
      </w:r>
    </w:p>
    <w:p>
      <w:pPr>
        <w:pStyle w:val="Intertitre"/>
      </w:pPr>
      <w:r>
        <w:t xml:space="preserve">Restitution, suppression et retrait des accès</w:t>
      </w:r>
    </w:p>
    <w:p>
      <w:pPr>
        <w:pStyle w:val="Corps"/>
      </w:pPr>
      <w:r>
        <w:t xml:space="preserve">Les biens, données, documents et accès sont restitués, supprimés ou désactivés selon [Restitution et suppression]. Les seules copies conservées répondent à [Exceptions de conservation], restent protégées et ne sont plus utilisées pour fournir les services. La prestataire remet la preuve des opérations accomplies.</w:t>
      </w:r>
    </w:p>
    <w:p>
      <w:pPr>
        <w:pStyle w:val="Intertitre"/>
      </w:pPr>
      <w:r>
        <w:t xml:space="preserve">Signatures</w:t>
      </w:r>
    </w:p>
    <w:p>
      <w:pPr>
        <w:pStyle w:val="Corps"/>
      </w:pPr>
      <w:r>
        <w:t xml:space="preserve">La convention est signée à [Lieu de signature] le [Date de signature] par [Noms des signataires]. Chaque signataire déclare agir dans la limite des pouvoirs vérifiés pour la société qu'il représente. Les exemplaires séparés ou signatures électroniques sont rattachés à une version identique de la convention et conservés avec les pouvoirs correspondants.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