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DE TRÉSORERIE INTRAGROUPE</w:t>
      </w:r>
    </w:p>
    <w:p>
      <w:pPr>
        <w:pStyle w:val="Intertitre"/>
      </w:pPr>
      <w:r>
        <w:t xml:space="preserve">Convention de trésorerie intragroupe</w:t>
      </w:r>
    </w:p>
    <w:p>
      <w:pPr>
        <w:pStyle w:val="Corps"/>
      </w:pPr>
      <w:r>
        <w:t xml:space="preserve">Convention de gestion centralisée de la trésorerie du groupe [Nom du groupe], référencée [Référence du dossier], conclue entre les sociétés identifiées dans les présentes. Elle fixe l'architecture des flux, les limites, la rémunération, les contrôles, les conditions de sortie et le règlement des soldes de chaque participant.</w:t>
      </w:r>
    </w:p>
    <w:p>
      <w:pPr>
        <w:pStyle w:val="Intertitre"/>
      </w:pPr>
      <w:r>
        <w:t xml:space="preserve">Préambule</w:t>
      </w:r>
    </w:p>
    <w:p>
      <w:pPr>
        <w:pStyle w:val="Corps"/>
      </w:pPr>
      <w:r>
        <w:t xml:space="preserve">Les sociétés souhaitent organiser leurs excédents et besoins de trésorerie dans un cadre contractuel commun. L'organigramme, les motifs économiques et les objectifs sont décrits dans [Justificatifs de la structure du groupe] et [Objectifs de la centralisation de trésorerie]. L'organisation retenue vise à réduire les besoins externes et optimiser les excédents sans transférer à une société les risques ou obligations d'une autre.</w:t>
      </w:r>
    </w:p>
    <w:p>
      <w:pPr>
        <w:pStyle w:val="Intertitre"/>
      </w:pPr>
      <w:r>
        <w:t xml:space="preserve">Périmètre bancaire</w:t>
      </w:r>
    </w:p>
    <w:p>
      <w:pPr>
        <w:pStyle w:val="Corps"/>
      </w:pPr>
      <w:r>
        <w:t xml:space="preserve">Les opérations sont limitées aux sociétés liées par un contrôle effectif établi dans [Justificatifs du contrôle effectif]. Aucun fonds du public n'est reçu et aucun service de crédit n'est fourni hors du périmètre autorisé. L'éligibilité de chaque participant et la continuité du lien de contrôle sont vérifiées avant son premier flux puis à chaque changement de périmètre.</w:t>
      </w:r>
    </w:p>
    <w:p>
      <w:pPr>
        <w:pStyle w:val="Intertitre"/>
      </w:pPr>
      <w:r>
        <w:t xml:space="preserve">Intérêt propre de chaque société</w:t>
      </w:r>
    </w:p>
    <w:p>
      <w:pPr>
        <w:pStyle w:val="Corps"/>
      </w:pPr>
      <w:r>
        <w:t xml:space="preserve">Chaque société adhère dans son intérêt propre selon [Analyse de l'intérêt propre du participant], conserve son autonomie de décision et peut refuser un flux qui compromettrait sa liquidité, sa solvabilité ou ses obligations. La décision de participer, prêter, emprunter ou maintenir un solde est prise au regard de la situation propre de la société à la date considérée.</w:t>
      </w:r>
    </w:p>
    <w:p>
      <w:pPr>
        <w:pStyle w:val="Intertitre"/>
      </w:pPr>
      <w:r>
        <w:t xml:space="preserve">Hiérarchie contractuelle</w:t>
      </w:r>
    </w:p>
    <w:p>
      <w:pPr>
        <w:pStyle w:val="Corps"/>
      </w:pPr>
      <w:r>
        <w:t xml:space="preserve">La convention s'articule avec les statuts, décisions sociales, contrats bancaires, sûretés et règles impératives recensés dans [Tableau de hiérarchie contractuelle]. Toute contradiction est résolue avant exécution du flux. Les mandats bancaires organisent l'exécution technique mais ne remplacent ni les autorisations sociales, ni les limites internes, ni les conditions financières de la présente convention.</w:t>
      </w:r>
    </w:p>
    <w:p>
      <w:pPr>
        <w:pStyle w:val="Intertitre"/>
      </w:pPr>
      <w:r>
        <w:t xml:space="preserve"> — choisir une seule variante</w:t>
      </w:r>
    </w:p>
    <w:p>
      <w:pPr>
        <w:pStyle w:val="Variante"/>
      </w:pPr>
      <w:r>
        <w:t xml:space="preserve">Variante : Société centralisatrice française</w:t>
      </w:r>
    </w:p>
    <w:p>
      <w:pPr>
        <w:pStyle w:val="Corps"/>
      </w:pPr>
      <w:r>
        <w:t xml:space="preserve">La société centralisatrice est [Dénomination de la société centralisatrice], [Forme juridique de la société centralisatrice], immatriculée sous [Numéro d'immatriculation de la société centralisatrice], dont le siège est [Siège social de la société centralisatrice], représentée par [Représentant de la société centralisatrice] selon [Justificatif des pouvoirs du représentant de la société centralisatrice]. La centralisatrice tient les comptes individuels, exécute les instructions autorisées et rend compte de ses fonctions sans disposer librement des fonds pour son propre intérêt.</w:t>
      </w:r>
    </w:p>
    <w:p>
      <w:pPr>
        <w:pStyle w:val="Variante"/>
      </w:pPr>
      <w:r>
        <w:t xml:space="preserve">Variante : Société centralisatrice étrangère</w:t>
      </w:r>
    </w:p>
    <w:p>
      <w:pPr>
        <w:pStyle w:val="Corps"/>
      </w:pPr>
      <w:r>
        <w:t xml:space="preserve">La société centralisatrice est [Dénomination de la société centralisatrice], constituée sous la forme [Forme juridique de la société centralisatrice] selon le droit [Droit de constitution de la société centralisatrice], enregistrée sous [Numéro d'immatriculation de la société centralisatrice], ayant son siège [Siège social de la société centralisatrice], représentée par [Représentant de la société centralisatrice] selon [Justificatif des pouvoirs du représentant de la société centralisatrice]. Son aptitude à centraliser les flux, ses obligations locales, sa résidence fiscale et l'opposabilité de ses pouvoirs font l'objet d'une analyse conservée avec la convention.</w:t>
      </w:r>
    </w:p>
    <w:p>
      <w:pPr>
        <w:pStyle w:val="Intertitre"/>
      </w:pPr>
      <w:r>
        <w:t xml:space="preserve">Sociétés participantes</w:t>
      </w:r>
    </w:p>
    <w:p>
      <w:pPr>
        <w:pStyle w:val="Corps"/>
      </w:pPr>
      <w:r>
        <w:t xml:space="preserve">Les sociétés participantes, leurs formes, sièges, immatriculations, dirigeants, exercices, comptes et qualités figurent dans [Tableau des sociétés participantes]. Aucune entité non identifiée ne peut émettre ou recevoir un flux. L'annexe indique pour chacune sa date d'adhésion, son lien de contrôle, ses limites, sa devise, ses coordonnées bancaires et les représentants autorisés.</w:t>
      </w:r>
    </w:p>
    <w:p>
      <w:pPr>
        <w:pStyle w:val="Intertitre"/>
      </w:pPr>
      <w:r>
        <w:t xml:space="preserve"> — choisir une seule variante</w:t>
      </w:r>
    </w:p>
    <w:p>
      <w:pPr>
        <w:pStyle w:val="Variante"/>
      </w:pPr>
      <w:r>
        <w:t xml:space="preserve">Variante : Contrôle direct</w:t>
      </w:r>
    </w:p>
    <w:p>
      <w:pPr>
        <w:pStyle w:val="Corps"/>
      </w:pPr>
      <w:r>
        <w:t xml:space="preserve">Le lien de contrôle direct entre les sociétés résulte de [Justificatifs du contrôle direct] et du pourcentage [Pourcentage de contrôle]. Sa continuité est contrôlée pendant toute la convention. Toute variation du capital, des droits de vote ou des accords affectant ce contrôle est notifiée avant l'exécution d'un nouveau mouvement de trésorerie.</w:t>
      </w:r>
    </w:p>
    <w:p>
      <w:pPr>
        <w:pStyle w:val="Variante"/>
      </w:pPr>
      <w:r>
        <w:t xml:space="preserve">Variante : Contrôle indirect</w:t>
      </w:r>
    </w:p>
    <w:p>
      <w:pPr>
        <w:pStyle w:val="Corps"/>
      </w:pPr>
      <w:r>
        <w:t xml:space="preserve">La chaîne de contrôle indirect est détaillée dans [Chaîne de contrôle indirect] avec les droits de vote, sociétés intermédiaires et preuves [Justificatifs du contrôle indirect]. Chaque maillon de la chaîne est vérifié et aucune présomption tirée du seul organigramme ne remplace les titres, registres ou accords établissant le contrôle.</w:t>
      </w:r>
    </w:p>
    <w:p>
      <w:pPr>
        <w:pStyle w:val="Variante"/>
      </w:pPr>
      <w:r>
        <w:t xml:space="preserve">Variante : Liens capitalistiques directs et indirects</w:t>
      </w:r>
    </w:p>
    <w:p>
      <w:pPr>
        <w:pStyle w:val="Corps"/>
      </w:pPr>
      <w:r>
        <w:t xml:space="preserve">Les liens directs et indirects du périmètre sont recensés dans [Matrice des liens de contrôle directs et indirects]. Chaque paire susceptible d'échanger des fonds est rattachée à une société exerçant un contrôle effectif. La matrice distingue les liens permettant l'éligibilité des simples participations financières et identifie la date à laquelle chaque relation a été vérifiée.</w:t>
      </w:r>
    </w:p>
    <w:p>
      <w:pPr>
        <w:pStyle w:val="Intertitre"/>
      </w:pPr>
      <w:r>
        <w:t xml:space="preserve">Capacité et pouvoirs</w:t>
      </w:r>
    </w:p>
    <w:p>
      <w:pPr>
        <w:pStyle w:val="Corps"/>
      </w:pPr>
      <w:r>
        <w:t xml:space="preserve">Les autorisations, délégations et limites de signature de chaque société sont établies dans [Tableau des pouvoirs des participants]. L'adhésion ne couvre aucun acte excédant ces pouvoirs. Les opérations dépassant une limite, créant une garantie ou modifiant un taux font l'objet du niveau d'autorisation propre prévu par la société concernée.</w:t>
      </w:r>
    </w:p>
    <w:p>
      <w:pPr>
        <w:pStyle w:val="Intertitre"/>
      </w:pPr>
      <w:r>
        <w:t xml:space="preserve">Adhésion ultérieure</w:t>
      </w:r>
    </w:p>
    <w:p>
      <w:pPr>
        <w:pStyle w:val="Corps"/>
      </w:pPr>
      <w:r>
        <w:t xml:space="preserve">Toute nouvelle société adhère par l'acte [Acte d'adhésion] à compter du [Date d'adhésion], après vérification de son contrôle, de son intérêt propre, de ses pouvoirs, de sa fiscalité et de ses comptes. L'adhésion précise les limites, taux, comptes, mandats, garanties et annexes acceptés par la nouvelle participante et ne produit aucun effet rétroactif.</w:t>
      </w:r>
    </w:p>
    <w:p>
      <w:pPr>
        <w:pStyle w:val="Intertitre"/>
      </w:pPr>
      <w:r>
        <w:t xml:space="preserve">Clause optionnelle : Sous-groupes participants</w:t>
      </w:r>
    </w:p>
    <w:p>
      <w:pPr>
        <w:pStyle w:val="Corps"/>
      </w:pPr>
      <w:r>
        <w:t xml:space="preserve">Les sous-groupes et centralisations intermédiaires sont décrits dans [Matrice de trésorerie des sous-groupes]. Les flux en cascade, responsabilités et rapprochements sont séparés par niveau. Aucun solde ne peut être agrégé deux fois. Chaque niveau produit son relevé, identifie sa contrepartie juridique et rapproche les flux transmis au niveau supérieur.</w:t>
      </w:r>
    </w:p>
    <w:p>
      <w:pPr>
        <w:pStyle w:val="Intertitre"/>
      </w:pPr>
      <w:r>
        <w:t xml:space="preserve"> — choisir une seule variante</w:t>
      </w:r>
    </w:p>
    <w:p>
      <w:pPr>
        <w:pStyle w:val="Variante"/>
      </w:pPr>
      <w:r>
        <w:t xml:space="preserve">Variante : Centralisation à solde zéro</w:t>
      </w:r>
    </w:p>
    <w:p>
      <w:pPr>
        <w:pStyle w:val="Corps"/>
      </w:pPr>
      <w:r>
        <w:t xml:space="preserve">Les comptes participants sont nivelés vers le compte pivot [Référence du compte pivot] selon [Règles de nivellement à solde zéro]. Chaque transfert crée une créance ou dette individualisée dans les livres des sociétés. Les heures de nivellement, dates de valeur, rejets, soldes incompressibles et écritures de retour sont configurés dans les mandats puis rapprochés quotidiennement.</w:t>
      </w:r>
    </w:p>
    <w:p>
      <w:pPr>
        <w:pStyle w:val="Variante"/>
      </w:pPr>
      <w:r>
        <w:t xml:space="preserve">Variante : Centralisation à solde cible</w:t>
      </w:r>
    </w:p>
    <w:p>
      <w:pPr>
        <w:pStyle w:val="Corps"/>
      </w:pPr>
      <w:r>
        <w:t xml:space="preserve">Les comptes sont nivelés jusqu'au solde cible [Solde cible] selon [Règles de nivellement au solde cible]. Les écarts, heures limites et jours non ouvrés sont traités dans les instructions bancaires. Le solde cible est justifié par les besoins opérationnels du participant et peut être revu uniquement selon la procédure d'autorisation documentée.</w:t>
      </w:r>
    </w:p>
    <w:p>
      <w:pPr>
        <w:pStyle w:val="Variante"/>
      </w:pPr>
      <w:r>
        <w:t xml:space="preserve">Variante : Avances sur demandes manuelles</w:t>
      </w:r>
    </w:p>
    <w:p>
      <w:pPr>
        <w:pStyle w:val="Corps"/>
      </w:pPr>
      <w:r>
        <w:t xml:space="preserve">Chaque avance résulte d'une demande et d'une autorisation enregistrées selon [Procédure des avances manuelles]. Le montant, la date de valeur, le prêteur, l'emprunteur et le remboursement sont individualisés. Une instruction incomplète, non habilitée ou dépassant une limite est rejetée. La preuve de la demande et de l'autorisation accompagne le relevé individuel.</w:t>
      </w:r>
    </w:p>
    <w:p>
      <w:pPr>
        <w:pStyle w:val="Variante"/>
      </w:pPr>
      <w:r>
        <w:t xml:space="preserve">Variante : Pool notionnel bancaire</w:t>
      </w:r>
    </w:p>
    <w:p>
      <w:pPr>
        <w:pStyle w:val="Corps"/>
      </w:pPr>
      <w:r>
        <w:t xml:space="preserve">La banque calcule les intérêts sur la base de la compensation notionnelle décrite dans [Conditions bancaires du pool notionnel] sans transfert de propriété des soldes, sous réserve des garanties et responsabilités expressément acceptées. Les obligations éventuelles envers la banque, clauses de compensation, garanties croisées et coûts sont analysés séparément pour chaque société avant son adhésion.</w:t>
      </w:r>
    </w:p>
    <w:p>
      <w:pPr>
        <w:pStyle w:val="Intertitre"/>
      </w:pPr>
      <w:r>
        <w:t xml:space="preserve"> — choisir une seule variante</w:t>
      </w:r>
    </w:p>
    <w:p>
      <w:pPr>
        <w:pStyle w:val="Variante"/>
      </w:pPr>
      <w:r>
        <w:t xml:space="preserve">Variante : Banque unique</w:t>
      </w:r>
    </w:p>
    <w:p>
      <w:pPr>
        <w:pStyle w:val="Corps"/>
      </w:pPr>
      <w:r>
        <w:t xml:space="preserve">Le dispositif est opéré auprès de [Dénomination de la banque] selon [Référence de la convention bancaire], les comptes et mandats décrits dans [Tableau des comptes bancaires]. La convention bancaire et ses avenants sont cohérents avec la présente convention, notamment pour les titulaires, pouvoirs, dates de valeur, frais et facultés de blocage.</w:t>
      </w:r>
    </w:p>
    <w:p>
      <w:pPr>
        <w:pStyle w:val="Variante"/>
      </w:pPr>
      <w:r>
        <w:t xml:space="preserve">Variante : Plusieurs banques</w:t>
      </w:r>
    </w:p>
    <w:p>
      <w:pPr>
        <w:pStyle w:val="Corps"/>
      </w:pPr>
      <w:r>
        <w:t xml:space="preserve">Les banques, comptes pivots, comptes participants, ordres et responsabilités sont recensés dans [Tableau du dispositif multibancaire]. Les délais et écarts entre banques font l'objet de contrôles dédiés. Un responsable coordonne les positions sans présumer leur disponibilité. Les chevauchements de cut-off, devises, frais et dates de valeur sont documentés dans le rapprochement.</w:t>
      </w:r>
    </w:p>
    <w:p>
      <w:pPr>
        <w:pStyle w:val="Variante"/>
      </w:pPr>
      <w:r>
        <w:t xml:space="preserve">Variante : Absence d'automatisation bancaire</w:t>
      </w:r>
    </w:p>
    <w:p>
      <w:pPr>
        <w:pStyle w:val="Corps"/>
      </w:pPr>
      <w:r>
        <w:t xml:space="preserve">Aucun sweep automatique n'est opéré. Les mouvements sont initiés sur instruction vérifiée selon [Procédure des instructions bancaires manuelles] et rapprochés individuellement. Deux personnes distinctes interviennent selon les pouvoirs convenus pour initier et valider l'ordre, puis la confirmation bancaire est rapprochée de la demande autorisée.</w:t>
      </w:r>
    </w:p>
    <w:p>
      <w:pPr>
        <w:pStyle w:val="Intertitre"/>
      </w:pPr>
      <w:r>
        <w:t xml:space="preserve">Mandats et pouvoirs bancaires</w:t>
      </w:r>
    </w:p>
    <w:p>
      <w:pPr>
        <w:pStyle w:val="Corps"/>
      </w:pPr>
      <w:r>
        <w:t xml:space="preserve">Les mandats de consultation, virement, nivellement et révocation sont définis dans [Tableau des mandats bancaires]. Aucun accès ou pouvoir bancaire n'est présumé. Chaque mandat identifie le titulaire du compte, le bénéficiaire du pouvoir, les opérations permises, les plafonds et la procédure de révocation immédiate.</w:t>
      </w:r>
    </w:p>
    <w:p>
      <w:pPr>
        <w:pStyle w:val="Intertitre"/>
      </w:pPr>
      <w:r>
        <w:t xml:space="preserve">Absence de novation</w:t>
      </w:r>
    </w:p>
    <w:p>
      <w:pPr>
        <w:pStyle w:val="Corps"/>
      </w:pPr>
      <w:r>
        <w:t xml:space="preserve">Les écritures de centralisation n'opèrent ni novation, ni confusion des patrimoines, ni transfert des obligations externes. Chaque solde reste une créance ou dette de la société concernée. La centralisatrice agit comme contrepartie identifiée de chaque position et ne compense des créances entre participants que lorsqu'un fondement contractuel le permet.</w:t>
      </w:r>
    </w:p>
    <w:p>
      <w:pPr>
        <w:pStyle w:val="Intertitre"/>
      </w:pPr>
      <w:r>
        <w:t xml:space="preserve"> — choisir une seule variante</w:t>
      </w:r>
    </w:p>
    <w:p>
      <w:pPr>
        <w:pStyle w:val="Variante"/>
      </w:pPr>
      <w:r>
        <w:t xml:space="preserve">Variante : Flux dans les deux sens</w:t>
      </w:r>
    </w:p>
    <w:p>
      <w:pPr>
        <w:pStyle w:val="Corps"/>
      </w:pPr>
      <w:r>
        <w:t xml:space="preserve">Chaque participant peut, dans ses limites, déposer un excédent ou recevoir une avance selon [Règles des flux bidirectionnels]. Le sens du flux dépend de la position et des limites du jour. Une société ne devient pas prêteuse ou emprunteuse au-delà de son autorisation.</w:t>
      </w:r>
    </w:p>
    <w:p>
      <w:pPr>
        <w:pStyle w:val="Variante"/>
      </w:pPr>
      <w:r>
        <w:t xml:space="preserve">Variante : Financement par la centralisatrice</w:t>
      </w:r>
    </w:p>
    <w:p>
      <w:pPr>
        <w:pStyle w:val="Corps"/>
      </w:pPr>
      <w:r>
        <w:t xml:space="preserve">La centralisatrice met des fonds à disposition des participants selon [Procédure de financement par la société centralisatrice] sans engagement irrévocable de financement au-delà des limites confirmées. Chaque tirage reste subordonné à une demande, au test de solvabilité et à la disponibilité vérifiée de la centralisatrice à la date de valeur.</w:t>
      </w:r>
    </w:p>
    <w:p>
      <w:pPr>
        <w:pStyle w:val="Variante"/>
      </w:pPr>
      <w:r>
        <w:t xml:space="preserve">Variante : Remontée des seuls excédents</w:t>
      </w:r>
    </w:p>
    <w:p>
      <w:pPr>
        <w:pStyle w:val="Corps"/>
      </w:pPr>
      <w:r>
        <w:t xml:space="preserve">Les participants déposent leurs seuls excédents disponibles auprès de la centralisatrice selon [Procédure de remontée des excédents des participants]. Aucun participant n'est autorisé à devenir débiteur. Le transfert est refusé s'il réduit la trésorerie sous la réserve minimale ou compromet une échéance fiscale, sociale, salariale, bancaire ou fournisseur identifiée.</w:t>
      </w:r>
    </w:p>
    <w:p>
      <w:pPr>
        <w:pStyle w:val="Intertitre"/>
      </w:pPr>
      <w:r>
        <w:t xml:space="preserve">Demandes et autorisations</w:t>
      </w:r>
    </w:p>
    <w:p>
      <w:pPr>
        <w:pStyle w:val="Corps"/>
      </w:pPr>
      <w:r>
        <w:t xml:space="preserve">Toute demande mentionne [Montant du tirage], l'usage, l'échéance, la date de valeur et le compte. Elle est autorisée selon [Matrice d'autorisation des financements] avant exécution. La demande conserve son auteur, son horodatage, les pièces de besoin et la décision. Une autorisation ne vaut que pour le montant et la date indiqués.</w:t>
      </w:r>
    </w:p>
    <w:p>
      <w:pPr>
        <w:pStyle w:val="Intertitre"/>
      </w:pPr>
      <w:r>
        <w:t xml:space="preserve">Plafonds débiteurs et créditeurs</w:t>
      </w:r>
    </w:p>
    <w:p>
      <w:pPr>
        <w:pStyle w:val="Corps"/>
      </w:pPr>
      <w:r>
        <w:t xml:space="preserve">Les plafonds individuels et consolidés sont détaillés dans [Tableau des limites d'exposition], notamment [Plafond débiteur] en position débitrice et [Plafond créditeur] en position créditrice. Tout dépassement exige une nouvelle autorisation. Les positions sont contrôlées avant et après chaque mouvement. Un dépassement involontaire entraîne alerte, suspension des nouveaux flux et plan de régularisation documenté.</w:t>
      </w:r>
    </w:p>
    <w:p>
      <w:pPr>
        <w:pStyle w:val="Intertitre"/>
      </w:pPr>
      <w:r>
        <w:t xml:space="preserve">Réserve minimale de liquidité</w:t>
      </w:r>
    </w:p>
    <w:p>
      <w:pPr>
        <w:pStyle w:val="Corps"/>
      </w:pPr>
      <w:r>
        <w:t xml:space="preserve">Chaque société conserve au moins [Réserve minimale de trésorerie] ou le niveau résultant de [Méthode de calcul de la réserve de liquidité] avant tout transfert d'excédent. Le calcul prend en compte les décaissements prévisionnels, les lignes disponibles, les restrictions de compte et une marge adaptée à la volatilité du besoin opérationnel.</w:t>
      </w:r>
    </w:p>
    <w:p>
      <w:pPr>
        <w:pStyle w:val="Intertitre"/>
      </w:pPr>
      <w:r>
        <w:t xml:space="preserve">Test de liquidité et de solvabilité</w:t>
      </w:r>
    </w:p>
    <w:p>
      <w:pPr>
        <w:pStyle w:val="Corps"/>
      </w:pPr>
      <w:r>
        <w:t xml:space="preserve">Avant chaque financement significatif, la société concernée applique [Test de liquidité et de solvabilité] et documente sa capacité à payer ses dettes exigibles et à poursuivre son activité. Le test est renouvelé en cas d'événement significatif et ne se limite pas à un solde bancaire positif. Toute alerte suspend le financement concerné.</w:t>
      </w:r>
    </w:p>
    <w:p>
      <w:pPr>
        <w:pStyle w:val="Intertitre"/>
      </w:pPr>
      <w:r>
        <w:t xml:space="preserve">Absence d'engagement permanent</w:t>
      </w:r>
    </w:p>
    <w:p>
      <w:pPr>
        <w:pStyle w:val="Corps"/>
      </w:pPr>
      <w:r>
        <w:t xml:space="preserve">La convention ne constitue pas une ligne confirmée. La disponibilité dépend des soldes, limites, décisions, restrictions bancaires, sanctions et intérêts propres vérifiés à chaque opération. Aucun participant ne peut établir ses prévisions sur une disponibilité garantie par le pool. Les financements structurels doivent faire l'objet d'un instrument distinct.</w:t>
      </w:r>
    </w:p>
    <w:p>
      <w:pPr>
        <w:pStyle w:val="Intertitre"/>
      </w:pPr>
      <w:r>
        <w:t xml:space="preserve">Remboursement</w:t>
      </w:r>
    </w:p>
    <w:p>
      <w:pPr>
        <w:pStyle w:val="Corps"/>
      </w:pPr>
      <w:r>
        <w:t xml:space="preserve">Les avances sont remboursées selon [Procédure de remboursement] par flux, nivellement inverse ou compensation autorisée. Chaque remboursement est imputé au compte individuel correspondant. Le remboursement distingue principal, intérêts, frais et devise. Toute imputation ou compensation est portée sur le relevé avec sa date de valeur et son fondement.</w:t>
      </w:r>
    </w:p>
    <w:p>
      <w:pPr>
        <w:pStyle w:val="Intertitre"/>
      </w:pPr>
      <w:r>
        <w:t xml:space="preserve">Usages interdits</w:t>
      </w:r>
    </w:p>
    <w:p>
      <w:pPr>
        <w:pStyle w:val="Corps"/>
      </w:pPr>
      <w:r>
        <w:t xml:space="preserve">Les fonds ne peuvent être utilisés pour [Tableau des utilisations interdites] ni pour masquer une cessation des paiements, contourner une restriction, financer une distribution illicite ou servir une entité hors périmètre. La société bénéficiaire rend compte de l'usage déclaré sur demande et signale tout changement. Un usage interdit entraîne la suspension et l'exigibilité selon les stipulations applicables.</w:t>
      </w:r>
    </w:p>
    <w:p>
      <w:pPr>
        <w:pStyle w:val="Intertitre"/>
      </w:pPr>
      <w:r>
        <w:t xml:space="preserve"> — choisir une seule variante</w:t>
      </w:r>
    </w:p>
    <w:p>
      <w:pPr>
        <w:pStyle w:val="Variante"/>
      </w:pPr>
      <w:r>
        <w:t xml:space="preserve">Variante : Monnaie unique</w:t>
      </w:r>
    </w:p>
    <w:p>
      <w:pPr>
        <w:pStyle w:val="Corps"/>
      </w:pPr>
      <w:r>
        <w:t xml:space="preserve">Les comptes et soldes sont tenus dans la devise [Devise de référence]. Aucun risque de change intraconvention n'est accepté hors frais bancaires documentés. Les paiements en autre devise sont convertis hors pool selon une opération séparée, dont le taux, les frais et le risque sont attribués au participant concerné.</w:t>
      </w:r>
    </w:p>
    <w:p>
      <w:pPr>
        <w:pStyle w:val="Variante"/>
      </w:pPr>
      <w:r>
        <w:t xml:space="preserve">Variante : Dispositif multi-devises</w:t>
      </w:r>
    </w:p>
    <w:p>
      <w:pPr>
        <w:pStyle w:val="Corps"/>
      </w:pPr>
      <w:r>
        <w:t xml:space="preserve">Les devises, comptes, cours, dates de conversion, coûts et responsables sont décrits dans [Tableau des devises autorisées] et [Politique de conversion des devises]. Chaque position est tenue et rémunérée dans sa devise sans compensation économique implicite. Les conversions sont enregistrées comme opérations distinctes avec leur contrepartie.</w:t>
      </w:r>
    </w:p>
    <w:p>
      <w:pPr>
        <w:pStyle w:val="Intertitre"/>
      </w:pPr>
      <w:r>
        <w:t xml:space="preserve">Clause optionnelle : Couverture de change</w:t>
      </w:r>
    </w:p>
    <w:p>
      <w:pPr>
        <w:pStyle w:val="Corps"/>
      </w:pPr>
      <w:r>
        <w:t xml:space="preserve">Les couvertures admises, contreparties, limites, valorisations et affectations sont recensées dans [Tableau des instruments de couverture]. Aucun instrument dérivé n'est conclu par la présente convention. Une couverture n'est exécutée qu'après mandat séparé, contrôle de limite et attribution de son coût, de son résultat et de son risque au bénéficiaire concerné.</w:t>
      </w:r>
    </w:p>
    <w:p>
      <w:pPr>
        <w:pStyle w:val="Intertitre"/>
      </w:pPr>
      <w:r>
        <w:t xml:space="preserve"> — choisir une seule variante</w:t>
      </w:r>
    </w:p>
    <w:p>
      <w:pPr>
        <w:pStyle w:val="Variante"/>
      </w:pPr>
      <w:r>
        <w:t xml:space="preserve">Variante : Taux fixe</w:t>
      </w:r>
    </w:p>
    <w:p>
      <w:pPr>
        <w:pStyle w:val="Corps"/>
      </w:pPr>
      <w:r>
        <w:t xml:space="preserve">Les soldes portent intérêt au taux fixe [Taux fixe] selon la base de calcul, la convention de jours et la date d'effet [Date d'effet du taux] décrites dans [Méthode de détermination du taux fixe]. Le taux demeure inchangé jusqu'à la date prévue, sauf avenant prospectif. Les arrondis et la convention de jours sont identiques dans les relevés et la comptabilité.</w:t>
      </w:r>
    </w:p>
    <w:p>
      <w:pPr>
        <w:pStyle w:val="Variante"/>
      </w:pPr>
      <w:r>
        <w:t xml:space="preserve">Variante : Taux variable</w:t>
      </w:r>
    </w:p>
    <w:p>
      <w:pPr>
        <w:pStyle w:val="Corps"/>
      </w:pPr>
      <w:r>
        <w:t xml:space="preserve">Les intérêts sont calculés à partir de [Référence de l'indice de taux] augmenté ou diminué de [Taux de marge] selon [Méthode de détermination du taux variable], avec plancher, plafond et remplacement d'indice documentés. La source de l'indice, son heure d'observation et sa date de publication sont conservées. Le remplacement d'indice suit une méthode objective et prospective.</w:t>
      </w:r>
    </w:p>
    <w:p>
      <w:pPr>
        <w:pStyle w:val="Variante"/>
      </w:pPr>
      <w:r>
        <w:t xml:space="preserve">Variante : Grille de pleine concurrence</w:t>
      </w:r>
    </w:p>
    <w:p>
      <w:pPr>
        <w:pStyle w:val="Corps"/>
      </w:pPr>
      <w:r>
        <w:t xml:space="preserve">Le taux applicable à chaque solde résulte de [Grille de taux de pleine concurrence] selon la devise, la durée, la qualité de crédit, les fonctions, risques, garanties et comparables documentés. La grille identifie sa période de validité, ses comparables, ses ajustements et les circonstances qui imposent une révision avant la prochaine échéance programmée.</w:t>
      </w:r>
    </w:p>
    <w:p>
      <w:pPr>
        <w:pStyle w:val="Intertitre"/>
      </w:pPr>
      <w:r>
        <w:t xml:space="preserve"> — choisir une seule variante</w:t>
      </w:r>
    </w:p>
    <w:p>
      <w:pPr>
        <w:pStyle w:val="Variante"/>
      </w:pPr>
      <w:r>
        <w:t xml:space="preserve">Variante : Rémunération symétrique</w:t>
      </w:r>
    </w:p>
    <w:p>
      <w:pPr>
        <w:pStyle w:val="Corps"/>
      </w:pPr>
      <w:r>
        <w:t xml:space="preserve">Une méthode symétrique est appliquée aux soldes créditeurs et débiteurs selon [Méthode de rémunération symétrique], sous réserve de la rémunération propre de la centralisatrice. La symétrie est contrôlée sur les mêmes devises, durées et risques. Les fonctions propres de la centralisatrice sont rémunérées séparément lorsqu'elles le justifient.</w:t>
      </w:r>
    </w:p>
    <w:p>
      <w:pPr>
        <w:pStyle w:val="Variante"/>
      </w:pPr>
      <w:r>
        <w:t xml:space="preserve">Variante : Rémunération différenciée</w:t>
      </w:r>
    </w:p>
    <w:p>
      <w:pPr>
        <w:pStyle w:val="Corps"/>
      </w:pPr>
      <w:r>
        <w:t xml:space="preserve">Les différences entre taux créditeurs, débiteurs et rémunération de la centralisatrice sont justifiées dans [Analyse de la rémunération différenciée] par les fonctions, coûts, risques et conditions de marché. Chaque écart de taux est quantifié, relié à une différence de risque ou de fonction et réexaminé si cette différence disparaît.</w:t>
      </w:r>
    </w:p>
    <w:p>
      <w:pPr>
        <w:pStyle w:val="Intertitre"/>
      </w:pPr>
      <w:r>
        <w:t xml:space="preserve">Calcul et arrêté des intérêts</w:t>
      </w:r>
    </w:p>
    <w:p>
      <w:pPr>
        <w:pStyle w:val="Corps"/>
      </w:pPr>
      <w:r>
        <w:t xml:space="preserve">Les intérêts courent par solde et date de valeur selon [Méthode de calcul des intérêts]. Ils sont arrêtés, facturés ou inscrits en compte selon [Échéancier de règlement des intérêts]. Le calcul est reproductible à partir des relevés de dates de valeur. Toute correction identifie le solde, la période, le motif et l'approbation correspondante.</w:t>
      </w:r>
    </w:p>
    <w:p>
      <w:pPr>
        <w:pStyle w:val="Intertitre"/>
      </w:pPr>
      <w:r>
        <w:t xml:space="preserve"> — choisir une seule variante</w:t>
      </w:r>
    </w:p>
    <w:p>
      <w:pPr>
        <w:pStyle w:val="Variante"/>
      </w:pPr>
      <w:r>
        <w:t xml:space="preserve">Variante : Absence de capitalisation automatique</w:t>
      </w:r>
    </w:p>
    <w:p>
      <w:pPr>
        <w:pStyle w:val="Corps"/>
      </w:pPr>
      <w:r>
        <w:t xml:space="preserve">Les intérêts impayés ne produisent pas eux-mêmes intérêt sauf accord ultérieur conforme aux règles applicables. Les intérêts demeurent une créance distincte et leur paiement ou inscription en compte ne peut produire un nouvel intérêt par simple traitement comptable.</w:t>
      </w:r>
    </w:p>
    <w:p>
      <w:pPr>
        <w:pStyle w:val="Variante"/>
      </w:pPr>
      <w:r>
        <w:t xml:space="preserve">Variante : Capitalisation contractuelle</w:t>
      </w:r>
    </w:p>
    <w:p>
      <w:pPr>
        <w:pStyle w:val="Corps"/>
      </w:pPr>
      <w:r>
        <w:t xml:space="preserve">Les seuls intérêts échus dus pour au moins une année entière peuvent être capitalisés selon [Méthode de capitalisation des intérêts] et après vérification de leur montant et de leur exigibilité. La capitalisation est constatée à la date convenue, sur un décompte approuvé, sans intégrer des intérêts non échus, contestés ou dus depuis moins d'un an.</w:t>
      </w:r>
    </w:p>
    <w:p>
      <w:pPr>
        <w:pStyle w:val="Intertitre"/>
      </w:pPr>
      <w:r>
        <w:t xml:space="preserve">Contrôle de pleine concurrence</w:t>
      </w:r>
    </w:p>
    <w:p>
      <w:pPr>
        <w:pStyle w:val="Corps"/>
      </w:pPr>
      <w:r>
        <w:t xml:space="preserve">La délimitation des transactions, les fonctions, risques, capacités financières, comparables et ajustements sont documentés dans [Analyse des prix de transfert]. Les taux sont réexaminés selon [Procédure de révision des taux]. La revue distingue la rémunération du prêteur, de l'emprunteur et de la centralisatrice et tient compte de la durée réelle des positions, non de leur seule qualification contractuelle.</w:t>
      </w:r>
    </w:p>
    <w:p>
      <w:pPr>
        <w:pStyle w:val="Intertitre"/>
      </w:pPr>
      <w:r>
        <w:t xml:space="preserve">Déductibilité des charges financières</w:t>
      </w:r>
    </w:p>
    <w:p>
      <w:pPr>
        <w:pStyle w:val="Corps"/>
      </w:pPr>
      <w:r>
        <w:t xml:space="preserve">Chaque société analyse la déductibilité des intérêts, la libération de son capital, les limites applicables et ses charges financières nettes dans [Analyse de la déductibilité des intérêts]. L'analyse est renouvelée pour chaque exercice et chaque emprunteur à partir des charges nettes, capitaux, résultats et appartenances fiscales effectivement constatés.</w:t>
      </w:r>
    </w:p>
    <w:p>
      <w:pPr>
        <w:pStyle w:val="Intertitre"/>
      </w:pPr>
      <w:r>
        <w:t xml:space="preserve"> — choisir une seule variante</w:t>
      </w:r>
    </w:p>
    <w:p>
      <w:pPr>
        <w:pStyle w:val="Variante"/>
      </w:pPr>
      <w:r>
        <w:t xml:space="preserve">Variante : Procédure de société anonyme</w:t>
      </w:r>
    </w:p>
    <w:p>
      <w:pPr>
        <w:pStyle w:val="Corps"/>
      </w:pPr>
      <w:r>
        <w:t xml:space="preserve">Pour chaque société anonyme participante, la qualification, l'intérêt, les conditions financières, l'autorisation et le rapport sont traités selon [Tableau des conventions réglementées de la SA]. La société identifie les administrateurs intéressés, respecte les abstentions et conserve l'autorisation, le rapport et la décision portant sur les conditions effectivement appliquées.</w:t>
      </w:r>
    </w:p>
    <w:p>
      <w:pPr>
        <w:pStyle w:val="Variante"/>
      </w:pPr>
      <w:r>
        <w:t xml:space="preserve">Variante : Procédure de société par actions simplifiée</w:t>
      </w:r>
    </w:p>
    <w:p>
      <w:pPr>
        <w:pStyle w:val="Corps"/>
      </w:pPr>
      <w:r>
        <w:t xml:space="preserve">Pour chaque SAS participante, le rapport, la décision des associés ou la mention au registre de l'associé unique sont organisés selon [Tableau des conventions réglementées de la SAS]. Les statuts et la situation d'associé unique ou pluriel sont vérifiés avant de déterminer l'organe, le rapport, la décision et le registre applicables.</w:t>
      </w:r>
    </w:p>
    <w:p>
      <w:pPr>
        <w:pStyle w:val="Variante"/>
      </w:pPr>
      <w:r>
        <w:t xml:space="preserve">Variante : Procédure de société à responsabilité limitée</w:t>
      </w:r>
    </w:p>
    <w:p>
      <w:pPr>
        <w:pStyle w:val="Corps"/>
      </w:pPr>
      <w:r>
        <w:t xml:space="preserve">Pour chaque SARL participante, le rapport, l'approbation, le vote et la mention au registre sont organisés selon [Tableau des conventions réglementées de la SARL]. Le gérant ou associé intéressé ne prend pas part au vote lorsque les règles applicables l'exigent, et les parts concernées sont traitées conformément au régime vérifié.</w:t>
      </w:r>
    </w:p>
    <w:p>
      <w:pPr>
        <w:pStyle w:val="Variante"/>
      </w:pPr>
      <w:r>
        <w:t xml:space="preserve">Variante : Autre forme sociale</w:t>
      </w:r>
    </w:p>
    <w:p>
      <w:pPr>
        <w:pStyle w:val="Corps"/>
      </w:pPr>
      <w:r>
        <w:t xml:space="preserve">La procédure sociale applicable à chaque autre forme résulte de [Analyse juridique de l'autre forme sociale] et des décisions [Tableau des autorisations de l'autre forme sociale]. L'analyse précise la forme, l'organe compétent, les conflits d'intérêts, le calendrier et la preuve de l'autorisation ou de l'approbation requise.</w:t>
      </w:r>
    </w:p>
    <w:p>
      <w:pPr>
        <w:pStyle w:val="Intertitre"/>
      </w:pPr>
      <w:r>
        <w:t xml:space="preserve"> — choisir une seule variante</w:t>
      </w:r>
    </w:p>
    <w:p>
      <w:pPr>
        <w:pStyle w:val="Variante"/>
      </w:pPr>
      <w:r>
        <w:t xml:space="preserve">Variante : Opération courante à conditions normales</w:t>
      </w:r>
    </w:p>
    <w:p>
      <w:pPr>
        <w:pStyle w:val="Corps"/>
      </w:pPr>
      <w:r>
        <w:t xml:space="preserve">La qualification d'opération courante conclue à des conditions normales résulte de [Analyse des opérations courantes conclues à des conditions normales] et fait l'objet du suivi requis pour chaque société. La fréquence, l'objet, le montant et les conditions sont comparés à la pratique indépendante. La qualification est réexaminée lors de tout écart significatif.</w:t>
      </w:r>
    </w:p>
    <w:p>
      <w:pPr>
        <w:pStyle w:val="Variante"/>
      </w:pPr>
      <w:r>
        <w:t xml:space="preserve">Variante : Convention réglementée</w:t>
      </w:r>
    </w:p>
    <w:p>
      <w:pPr>
        <w:pStyle w:val="Corps"/>
      </w:pPr>
      <w:r>
        <w:t xml:space="preserve">Les autorisations, rapports, abstentions, votes et mentions exigés sont recensés dans [Procédure des conventions réglementées] avant ou après conclusion selon le régime applicable. Les conditions financières soumises aux organes sont identiques à celles exécutées. Toute modification significative repasse par la procédure propre à chaque société.</w:t>
      </w:r>
    </w:p>
    <w:p>
      <w:pPr>
        <w:pStyle w:val="Intertitre"/>
      </w:pPr>
      <w:r>
        <w:t xml:space="preserve">Revue périodique de l'intérêt social</w:t>
      </w:r>
    </w:p>
    <w:p>
      <w:pPr>
        <w:pStyle w:val="Corps"/>
      </w:pPr>
      <w:r>
        <w:t xml:space="preserve">Chaque société réévalue son intérêt, sa liquidité, sa rémunération, ses risques et ses limites selon [Revue périodique de l'intérêt propre des participants]. L'appartenance au groupe ne suffit pas à justifier un flux. La revue produit une décision traçable et, si nécessaire, réduit une limite, modifie un taux, exige un remboursement ou suspend les nouveaux flux.</w:t>
      </w:r>
    </w:p>
    <w:p>
      <w:pPr>
        <w:pStyle w:val="Intertitre"/>
      </w:pPr>
      <w:r>
        <w:t xml:space="preserve"> — choisir une seule variante</w:t>
      </w:r>
    </w:p>
    <w:p>
      <w:pPr>
        <w:pStyle w:val="Variante"/>
      </w:pPr>
      <w:r>
        <w:t xml:space="preserve">Variante : Flux domestiques</w:t>
      </w:r>
    </w:p>
    <w:p>
      <w:pPr>
        <w:pStyle w:val="Corps"/>
      </w:pPr>
      <w:r>
        <w:t xml:space="preserve">Les participants français appliquent le traitement comptable et fiscal décrit dans [Procédure fiscale applicable aux flux domestiques], avec rapprochement des intérêts, factures, comptes courants et déclarations. Chaque société rapproche ses produits et charges symétriques avec les relevés de contrepartie et explique tout écart de date, montant, taux ou exercice.</w:t>
      </w:r>
    </w:p>
    <w:p>
      <w:pPr>
        <w:pStyle w:val="Variante"/>
      </w:pPr>
      <w:r>
        <w:t xml:space="preserve">Variante : Flux transfrontaliers</w:t>
      </w:r>
    </w:p>
    <w:p>
      <w:pPr>
        <w:pStyle w:val="Corps"/>
      </w:pPr>
      <w:r>
        <w:t xml:space="preserve">Les flux transfrontaliers sont ventilés par juridiction dans [Tableau des flux transfrontaliers]. Résidence, établissement stable, retenue, convention, bénéficiaire effectif, devise et prix de transfert sont analysés dans [Analyse fiscale des flux transfrontaliers]. Aucun taux réduit ni exonération n'est appliqué sans certificat, analyse et formalité valides à la date du paiement ou de l'inscription en compte.</w:t>
      </w:r>
    </w:p>
    <w:p>
      <w:pPr>
        <w:pStyle w:val="Intertitre"/>
      </w:pPr>
      <w:r>
        <w:t xml:space="preserve">Documentation des prix de transfert</w:t>
      </w:r>
    </w:p>
    <w:p>
      <w:pPr>
        <w:pStyle w:val="Corps"/>
      </w:pPr>
      <w:r>
        <w:t xml:space="preserve">Les accords de financement, montants, parties, fonctions, risques, comparables, méthode et résultats sont conservés dans [Documentation des prix de transfert] et rapprochés des états financiers. La documentation distingue les positions de court terme des financements durables et justifie la rémunération de coordination de la centralisatrice selon ses fonctions réelles.</w:t>
      </w:r>
    </w:p>
    <w:p>
      <w:pPr>
        <w:pStyle w:val="Intertitre"/>
      </w:pPr>
      <w:r>
        <w:t xml:space="preserve">Clause optionnelle : Retenues et conventions</w:t>
      </w:r>
    </w:p>
    <w:p>
      <w:pPr>
        <w:pStyle w:val="Corps"/>
      </w:pPr>
      <w:r>
        <w:t xml:space="preserve">Les retenues, formulaires, certificats de résidence, conventions et crédits d'impôt applicables sont suivis dans [Tableau des retenues à la source et conventions fiscales]. Le calendrier anticipe les renouvellements de certificats et formulaires. Une pièce expirée entraîne l'application du traitement de droit interne jusqu'à régularisation.</w:t>
      </w:r>
    </w:p>
    <w:p>
      <w:pPr>
        <w:pStyle w:val="Intertitre"/>
      </w:pPr>
      <w:r>
        <w:t xml:space="preserve"> — choisir une seule variante</w:t>
      </w:r>
    </w:p>
    <w:p>
      <w:pPr>
        <w:pStyle w:val="Variante"/>
      </w:pPr>
      <w:r>
        <w:t xml:space="preserve">Variante : Absence de garantie spécifique</w:t>
      </w:r>
    </w:p>
    <w:p>
      <w:pPr>
        <w:pStyle w:val="Corps"/>
      </w:pPr>
      <w:r>
        <w:t xml:space="preserve">Aucune garantie ni sûreté n'est consentie au titre de la convention selon [Confirmation de l'absence de garantie]. Cette absence ne vaut pas garantie implicite du groupe. Chaque prêteur apprécie donc le risque sur la seule capacité de remboursement et les droits contractuels, sans se fonder sur un soutien implicite non documenté.</w:t>
      </w:r>
    </w:p>
    <w:p>
      <w:pPr>
        <w:pStyle w:val="Variante"/>
      </w:pPr>
      <w:r>
        <w:t xml:space="preserve">Variante : Garantie personnelle</w:t>
      </w:r>
    </w:p>
    <w:p>
      <w:pPr>
        <w:pStyle w:val="Corps"/>
      </w:pPr>
      <w:r>
        <w:t xml:space="preserve">La garantie personnelle est décrite dans [Acte de garantie personnelle] avec le garant, le bénéficiaire, les obligations couvertes, le plafond [Montant garanti], la durée et les autorisations. L'engagement est interprété strictement et son coût éventuel fait l'objet d'une analyse de pleine concurrence distincte de la rémunération du financement.</w:t>
      </w:r>
    </w:p>
    <w:p>
      <w:pPr>
        <w:pStyle w:val="Variante"/>
      </w:pPr>
      <w:r>
        <w:t xml:space="preserve">Variante : Sûreté réelle</w:t>
      </w:r>
    </w:p>
    <w:p>
      <w:pPr>
        <w:pStyle w:val="Corps"/>
      </w:pPr>
      <w:r>
        <w:t xml:space="preserve">La sûreté réelle, son assiette, son rang, sa publicité, sa valeur et ses conditions de réalisation sont décrits dans [Tableau des sûretés réelles] après vérification des autorisations et droits des tiers. Les actifs grevés restent identifiés et assurés. Toute substitution, dépréciation ou réalisation est notifiée et enregistrée selon l'instrument de sûreté.</w:t>
      </w:r>
    </w:p>
    <w:p>
      <w:pPr>
        <w:pStyle w:val="Variante"/>
      </w:pPr>
      <w:r>
        <w:t xml:space="preserve">Variante : Subordination</w:t>
      </w:r>
    </w:p>
    <w:p>
      <w:pPr>
        <w:pStyle w:val="Corps"/>
      </w:pPr>
      <w:r>
        <w:t xml:space="preserve">Le rang et les effets de la subordination sont définis dans [Conditions de subordination] en cohérence avec les financements externes et les restrictions contractuelles. Aucun paiement ou compensation contraire au rang convenu n'est exécuté. Les avis requis des créanciers externes sont obtenus avant la prise d'effet.</w:t>
      </w:r>
    </w:p>
    <w:p>
      <w:pPr>
        <w:pStyle w:val="Intertitre"/>
      </w:pPr>
      <w:r>
        <w:t xml:space="preserve">Clause optionnelle : Coûts et mainlevée</w:t>
      </w:r>
    </w:p>
    <w:p>
      <w:pPr>
        <w:pStyle w:val="Corps"/>
      </w:pPr>
      <w:r>
        <w:t xml:space="preserve">Les frais, taxes, renouvellements, valorisations et mainlevées liés aux garanties sont répartis selon [Tableau de rémunération des garanties]. Chaque coût est imputé à la société qui en bénéficie ou le provoque selon la méthode convenue et justifié par une facture ou un décompte.</w:t>
      </w:r>
    </w:p>
    <w:p>
      <w:pPr>
        <w:pStyle w:val="Intertitre"/>
      </w:pPr>
      <w:r>
        <w:t xml:space="preserve">Relevés individuels</w:t>
      </w:r>
    </w:p>
    <w:p>
      <w:pPr>
        <w:pStyle w:val="Corps"/>
      </w:pPr>
      <w:r>
        <w:t xml:space="preserve">La centralisatrice adresse des relevés par société et devise selon [Calendrier des relevés de position]. Chaque relevé détaille les mouvements, dates de valeur, soldes, intérêts, frais et corrections. Le participant dispose d'un délai de contrôle et signale tout écart. L'absence de contestation ne couvre ni fraude, ni erreur non décelable sur le relevé.</w:t>
      </w:r>
    </w:p>
    <w:p>
      <w:pPr>
        <w:pStyle w:val="Intertitre"/>
      </w:pPr>
      <w:r>
        <w:t xml:space="preserve">Rapprochement</w:t>
      </w:r>
    </w:p>
    <w:p>
      <w:pPr>
        <w:pStyle w:val="Corps"/>
      </w:pPr>
      <w:r>
        <w:t xml:space="preserve">Les écritures bancaires, comptes courants, intérêts et soldes sont rapprochés selon [Procédure de rapprochement]. Tout écart est identifié, attribué et corrigé avec une piste d'audit. Le rapprochement est daté, approuvé et clos seulement après justification de chaque différence. Une correction est reproduite symétriquement chez les contreparties concernées.</w:t>
      </w:r>
    </w:p>
    <w:p>
      <w:pPr>
        <w:pStyle w:val="Intertitre"/>
      </w:pPr>
      <w:r>
        <w:t xml:space="preserve">Comptabilisation</w:t>
      </w:r>
    </w:p>
    <w:p>
      <w:pPr>
        <w:pStyle w:val="Corps"/>
      </w:pPr>
      <w:r>
        <w:t xml:space="preserve">Chaque société comptabilise séparément ses créances, dettes, produits, charges, différences de change et garanties selon [Politique comptable]. La méthode est cohérente avec la substance du flux et les relevés. Les soldes réciproques font l'objet d'une confirmation périodique entre sociétés.</w:t>
      </w:r>
    </w:p>
    <w:p>
      <w:pPr>
        <w:pStyle w:val="Intertitre"/>
      </w:pPr>
      <w:r>
        <w:t xml:space="preserve">Droit de contrôle</w:t>
      </w:r>
    </w:p>
    <w:p>
      <w:pPr>
        <w:pStyle w:val="Corps"/>
      </w:pPr>
      <w:r>
        <w:t xml:space="preserve">Chaque participant peut obtenir les données relatives à ses flux et faire vérifier les calculs selon [Procédure d'accès aux pièces et d'audit], sous réserve des informations des autres sociétés. Le contrôle est limité aux données nécessaires à la vérification du participant, protège les secrets des autres sociétés et n'interrompt pas indûment les opérations.</w:t>
      </w:r>
    </w:p>
    <w:p>
      <w:pPr>
        <w:pStyle w:val="Intertitre"/>
      </w:pPr>
      <w:r>
        <w:t xml:space="preserve">Confidentialité</w:t>
      </w:r>
    </w:p>
    <w:p>
      <w:pPr>
        <w:pStyle w:val="Corps"/>
      </w:pPr>
      <w:r>
        <w:t xml:space="preserve">Les informations bancaires, financières et fiscales sont utilisées pour l'exécution, le contrôle et les obligations légales selon [Politique de confidentialité]. L'accès est limité aux équipes financières, juridiques, fiscales, d'audit et bancaires habilitées. Toute divulgation obligatoire est préalablement signalée lorsque le droit le permet.</w:t>
      </w:r>
    </w:p>
    <w:p>
      <w:pPr>
        <w:pStyle w:val="Intertitre"/>
      </w:pPr>
      <w:r>
        <w:t xml:space="preserve">Conservation des preuves</w:t>
      </w:r>
    </w:p>
    <w:p>
      <w:pPr>
        <w:pStyle w:val="Corps"/>
      </w:pPr>
      <w:r>
        <w:t xml:space="preserve">Les conventions, adhésions, décisions, relevés, ordres, calculs, factures, justificatifs fiscaux et échanges sont conservés dans [Registre de conservation des documents] selon les durées vérifiées. Le registre indique l'emplacement, le responsable, la durée et les restrictions d'accès de chaque catégorie, ainsi que la procédure de restitution ou destruction.</w:t>
      </w:r>
    </w:p>
    <w:p>
      <w:pPr>
        <w:pStyle w:val="Intertitre"/>
      </w:pPr>
      <w:r>
        <w:t xml:space="preserve">Incident bancaire</w:t>
      </w:r>
    </w:p>
    <w:p>
      <w:pPr>
        <w:pStyle w:val="Corps"/>
      </w:pPr>
      <w:r>
        <w:t xml:space="preserve">Tout rejet, indisponibilité, erreur de nivellement, cyberincident ou gel de compte suit [Procédure de gestion des incidents bancaires] avec suspension ciblée, information et rapprochement. L'incident est horodaté, qualifié par compte et participant, puis suivi jusqu'à la correction bancaire, comptable et financière de toutes ses conséquences.</w:t>
      </w:r>
    </w:p>
    <w:p>
      <w:pPr>
        <w:pStyle w:val="Intertitre"/>
      </w:pPr>
      <w:r>
        <w:t xml:space="preserve">Clause optionnelle : Sanctions et conformité</w:t>
      </w:r>
    </w:p>
    <w:p>
      <w:pPr>
        <w:pStyle w:val="Corps"/>
      </w:pPr>
      <w:r>
        <w:t xml:space="preserve">Les contrôles de sanctions, gel des avoirs, lutte contre la fraude et restrictions de paiement sont appliqués selon [Procédure de contrôle des sanctions et restrictions] avant les flux concernés. Un résultat incertain ou positif bloque le flux sans modifier les soldes antérieurs. Les décisions de libération ou refus sont documentées par les responsables habilités.</w:t>
      </w:r>
    </w:p>
    <w:p>
      <w:pPr>
        <w:pStyle w:val="Intertitre"/>
      </w:pPr>
      <w:r>
        <w:t xml:space="preserve"> — choisir une seule variante</w:t>
      </w:r>
    </w:p>
    <w:p>
      <w:pPr>
        <w:pStyle w:val="Variante"/>
      </w:pPr>
      <w:r>
        <w:t xml:space="preserve">Variante : Durée déterminée</w:t>
      </w:r>
    </w:p>
    <w:p>
      <w:pPr>
        <w:pStyle w:val="Corps"/>
      </w:pPr>
      <w:r>
        <w:t xml:space="preserve">La convention prend effet le [Date d'effet de la convention] et prend fin le [Date d'échéance de la convention], sous réserve des sorties et résiliations anticipées. L'expiration interdit les nouveaux flux mais n'éteint ni les soldes, ni les intérêts, ni les garanties, ni les opérations nécessaires à leur règlement.</w:t>
      </w:r>
    </w:p>
    <w:p>
      <w:pPr>
        <w:pStyle w:val="Variante"/>
      </w:pPr>
      <w:r>
        <w:t xml:space="preserve">Variante : Durée indéterminée</w:t>
      </w:r>
    </w:p>
    <w:p>
      <w:pPr>
        <w:pStyle w:val="Corps"/>
      </w:pPr>
      <w:r>
        <w:t xml:space="preserve">La convention prend effet le [Date d'effet de la convention] pour une durée indéterminée. Chaque partie peut se retirer selon le préavis et les conditions convenus. Le retrait demeure soumis au mécanisme choisi et ne peut prendre effet avant la clôture des instructions, rapprochements et obligations bancaires en cours.</w:t>
      </w:r>
    </w:p>
    <w:p>
      <w:pPr>
        <w:pStyle w:val="Intertitre"/>
      </w:pPr>
      <w:r>
        <w:t xml:space="preserve"> — choisir une seule variante</w:t>
      </w:r>
    </w:p>
    <w:p>
      <w:pPr>
        <w:pStyle w:val="Variante"/>
      </w:pPr>
      <w:r>
        <w:t xml:space="preserve">Variante : Retrait avec préavis</w:t>
      </w:r>
    </w:p>
    <w:p>
      <w:pPr>
        <w:pStyle w:val="Corps"/>
      </w:pPr>
      <w:r>
        <w:t xml:space="preserve">Le participant peut se retirer avec un préavis de [Durée du préavis en jours] jours selon [Procédure de sortie avec préavis], sous réserve du remboursement et de la clôture de ses positions. Pendant le préavis, les nouveaux engagements peuvent être limités et un plan de remboursement est arrêté avec les contreparties avant la date effective de sortie.</w:t>
      </w:r>
    </w:p>
    <w:p>
      <w:pPr>
        <w:pStyle w:val="Variante"/>
      </w:pPr>
      <w:r>
        <w:t xml:space="preserve">Variante : Sortie lors d'un changement de contrôle</w:t>
      </w:r>
    </w:p>
    <w:p>
      <w:pPr>
        <w:pStyle w:val="Corps"/>
      </w:pPr>
      <w:r>
        <w:t xml:space="preserve">La perte ou modification du lien de contrôle déclenche la suspension puis la sortie selon [Procédure de sortie en cas de changement de contrôle]. Aucun nouveau flux n'est exécuté après perte de l'éligibilité. La société notifie l'opération dès qu'elle est suffisamment certaine et coopère pour arrêter les flux, révoquer les mandats et rembourser les positions.</w:t>
      </w:r>
    </w:p>
    <w:p>
      <w:pPr>
        <w:pStyle w:val="Variante"/>
      </w:pPr>
      <w:r>
        <w:t xml:space="preserve">Variante : Sortie pour événement déterminé</w:t>
      </w:r>
    </w:p>
    <w:p>
      <w:pPr>
        <w:pStyle w:val="Corps"/>
      </w:pPr>
      <w:r>
        <w:t xml:space="preserve">Les événements de sortie et leur constatation sont décrits dans [Tableau des événements de résiliation]. La notification précise la date d'effet et le traitement des soldes. Les parties distinguent la date de constat, la date de notification et la date d'effet afin d'éviter tout flux postérieur non autorisé.</w:t>
      </w:r>
    </w:p>
    <w:p>
      <w:pPr>
        <w:pStyle w:val="Intertitre"/>
      </w:pPr>
      <w:r>
        <w:t xml:space="preserve">Survie des soldes</w:t>
      </w:r>
    </w:p>
    <w:p>
      <w:pPr>
        <w:pStyle w:val="Corps"/>
      </w:pPr>
      <w:r>
        <w:t xml:space="preserve">La sortie ou fin de la convention n'éteint pas le solde [Solde restant dû], les intérêts, garanties, comptes, preuves et obligations survivantes décrits dans [Tableau des opérations postérieures à la résiliation]. Les relevés de clôture distinguent principal, intérêts, frais, devise et garanties. Leur règlement reste soumis aux règles de défaut et de procédure collective.</w:t>
      </w:r>
    </w:p>
    <w:p>
      <w:pPr>
        <w:pStyle w:val="Intertitre"/>
      </w:pPr>
      <w:r>
        <w:t xml:space="preserve">Cas de défaut</w:t>
      </w:r>
    </w:p>
    <w:p>
      <w:pPr>
        <w:pStyle w:val="Corps"/>
      </w:pPr>
      <w:r>
        <w:t xml:space="preserve">Les défauts de paiement, violations, déclarations inexactes, restrictions bancaires, insolvabilité, procédures collectives et événements croisés sont définis dans [Tableau des cas de défaut]. Chaque événement est apprécié sur pièces, notifié à la société concernée et assorti, lorsqu'il est possible, du délai de remède expressément convenu.</w:t>
      </w:r>
    </w:p>
    <w:p>
      <w:pPr>
        <w:pStyle w:val="Intertitre"/>
      </w:pPr>
      <w:r>
        <w:t xml:space="preserve">Suspension</w:t>
      </w:r>
    </w:p>
    <w:p>
      <w:pPr>
        <w:pStyle w:val="Corps"/>
      </w:pPr>
      <w:r>
        <w:t xml:space="preserve">En cas de risque, la centralisatrice ou le participant concerné suspend les nouveaux flux selon [Procédure de suspension des flux] sans aggraver la situation des autres sociétés. La mesure est limitée aux comptes et flux affectés, préserve les rapprochements et peut être levée dès disparition du risque ou exécution du remède.</w:t>
      </w:r>
    </w:p>
    <w:p>
      <w:pPr>
        <w:pStyle w:val="Intertitre"/>
      </w:pPr>
      <w:r>
        <w:t xml:space="preserve">Exigibilité anticipée</w:t>
      </w:r>
    </w:p>
    <w:p>
      <w:pPr>
        <w:pStyle w:val="Corps"/>
      </w:pPr>
      <w:r>
        <w:t xml:space="preserve">L'exigibilité anticipée n'intervient qu'après le constat et la notification prévus dans [Procédure d'exigibilité anticipée], sous réserve des règles impératives et procédures collectives. Le décompte exigible distingue principal, intérêts et frais et ne peut inclure une somme future ou conditionnelle non devenue exigible selon la convention.</w:t>
      </w:r>
    </w:p>
    <w:p>
      <w:pPr>
        <w:pStyle w:val="Intertitre"/>
      </w:pPr>
      <w:r>
        <w:t xml:space="preserve">Intérêt de retard</w:t>
      </w:r>
    </w:p>
    <w:p>
      <w:pPr>
        <w:pStyle w:val="Corps"/>
      </w:pPr>
      <w:r>
        <w:t xml:space="preserve">Le solde exigible porte, après mise en demeure, la rémunération et la marge de retard [Taux de la marge de retard] selon [Méthode de calcul des intérêts de retard] et les limites applicables. La marge n'est appliquée qu'au solde exigible et pendant la durée du retard. Son calcul figure séparément sur le relevé adressé au débiteur.</w:t>
      </w:r>
    </w:p>
    <w:p>
      <w:pPr>
        <w:pStyle w:val="Intertitre"/>
      </w:pPr>
      <w:r>
        <w:t xml:space="preserve">Difficultés et procédures collectives</w:t>
      </w:r>
    </w:p>
    <w:p>
      <w:pPr>
        <w:pStyle w:val="Corps"/>
      </w:pPr>
      <w:r>
        <w:t xml:space="preserve">Lorsqu'une société rencontre des difficultés, les flux sont examinés selon [Procédure de contrôle des difficultés et de l'insolvabilité]. Aucun transfert ne doit détourner des actifs, rompre l'égalité applicable ou masquer une cessation des paiements. Les paiements, compensations, garanties et nouveaux crédits sont suspendus ou adaptés selon les pouvoirs des organes de la procédure et l'ordre public applicable.</w:t>
      </w:r>
    </w:p>
    <w:p>
      <w:pPr>
        <w:pStyle w:val="Intertitre"/>
      </w:pPr>
      <w:r>
        <w:t xml:space="preserve">Recouvrement et compensation</w:t>
      </w:r>
    </w:p>
    <w:p>
      <w:pPr>
        <w:pStyle w:val="Corps"/>
      </w:pPr>
      <w:r>
        <w:t xml:space="preserve">Les paiements, compensations et recours suivent [Procédure de recouvrement et de compensation] après vérification de la connexité, de l'exigibilité, des sûretés et des règles de procédure collective. Toute compensation est enregistrée chez les deux sociétés à la même date et pour le même montant. Les recours préservent les déclarations et délais impératifs.</w:t>
      </w:r>
    </w:p>
    <w:p>
      <w:pPr>
        <w:pStyle w:val="Intertitre"/>
      </w:pPr>
      <w:r>
        <w:t xml:space="preserve"> — choisir une seule variante</w:t>
      </w:r>
    </w:p>
    <w:p>
      <w:pPr>
        <w:pStyle w:val="Variante"/>
      </w:pPr>
      <w:r>
        <w:t xml:space="preserve">Variante : Droit français</w:t>
      </w:r>
    </w:p>
    <w:p>
      <w:pPr>
        <w:pStyle w:val="Corps"/>
      </w:pPr>
      <w:r>
        <w:t xml:space="preserve">La convention est régie par le droit français, sans exclure les règles impératives applicables aux sociétés, comptes, sûretés ou flux situés à l'étranger. Le choix de loi ne modifie pas les règles de police, de procédure collective, de sûreté, de fiscalité ou de contrôle bancaire applicables à chaque opération.</w:t>
      </w:r>
    </w:p>
    <w:p>
      <w:pPr>
        <w:pStyle w:val="Variante"/>
      </w:pPr>
      <w:r>
        <w:t xml:space="preserve">Variante : Autre droit vérifié</w:t>
      </w:r>
    </w:p>
    <w:p>
      <w:pPr>
        <w:pStyle w:val="Corps"/>
      </w:pPr>
      <w:r>
        <w:t xml:space="preserve">Le droit applicable résulte de [Analyse du droit applicable]. Les règles françaises impératives relatives aux participants et opérations concernés demeurent réservées. L'analyse précise la validité du choix, les règles impératives conservées, l'opposabilité des sûretés et les conditions d'exécution d'une décision étrangère.</w:t>
      </w:r>
    </w:p>
    <w:p>
      <w:pPr>
        <w:pStyle w:val="Intertitre"/>
      </w:pPr>
      <w:r>
        <w:t xml:space="preserve"> — choisir une seule variante</w:t>
      </w:r>
    </w:p>
    <w:p>
      <w:pPr>
        <w:pStyle w:val="Variante"/>
      </w:pPr>
      <w:r>
        <w:t xml:space="preserve">Variante : Juridiction compétente</w:t>
      </w:r>
    </w:p>
    <w:p>
      <w:pPr>
        <w:pStyle w:val="Corps"/>
      </w:pPr>
      <w:r>
        <w:t xml:space="preserve">Après la procédure amiable [Procédure de règlement amiable], les litiges sont portés devant la juridiction déterminée par [Fondement de la compétence juridictionnelle]. La clause est vérifiée entre commerçants et portée de manière apparente. Les compétences exclusives et mesures d'urgence demeurent réservées.</w:t>
      </w:r>
    </w:p>
    <w:p>
      <w:pPr>
        <w:pStyle w:val="Variante"/>
      </w:pPr>
      <w:r>
        <w:t xml:space="preserve">Variante : Arbitrage</w:t>
      </w:r>
    </w:p>
    <w:p>
      <w:pPr>
        <w:pStyle w:val="Corps"/>
      </w:pPr>
      <w:r>
        <w:t xml:space="preserve">Les litiges entrant dans le champ de la clause sont soumis à l'arbitrage selon [Conditions de l'arbitrage], sans faire obstacle aux mesures urgentes ni aux compétences impératives. La clause précise le siège, la langue, le nombre d'arbitres, les règles de nomination et la répartition provisoire des frais de la procédure.</w:t>
      </w:r>
    </w:p>
    <w:p>
      <w:pPr>
        <w:pStyle w:val="Intertitre"/>
      </w:pPr>
      <w:r>
        <w:t xml:space="preserve">Annexes</w:t>
      </w:r>
    </w:p>
    <w:p>
      <w:pPr>
        <w:pStyle w:val="Corps"/>
      </w:pPr>
      <w:r>
        <w:t xml:space="preserve">Sont annexés les organigrammes, participants, comptes, limites, taux, mandats, décisions, garanties, analyses fiscales, procédures et modèles recensés dans [Tableau des annexes]. Chaque annexe est datée, numérotée et rattachée à la version signée. Une annexe manquante bloque les flux qui dépendent de ses données.</w:t>
      </w:r>
    </w:p>
    <w:p>
      <w:pPr>
        <w:pStyle w:val="Intertitre"/>
      </w:pPr>
      <w:r>
        <w:t xml:space="preserve">Modification</w:t>
      </w:r>
    </w:p>
    <w:p>
      <w:pPr>
        <w:pStyle w:val="Corps"/>
      </w:pPr>
      <w:r>
        <w:t xml:space="preserve">Toute modification est écrite, approuvée selon les procédures nécessaires et inscrite dans [Registre des modifications]. Une modification de taux ou de périmètre ne peut être rétroactive sans analyse vérifiée. L'avenant identifie les stipulations remplacées, les sociétés concernées et sa date d'effet. Les mandats et systèmes bancaires sont alignés avant application.</w:t>
      </w:r>
    </w:p>
    <w:p>
      <w:pPr>
        <w:pStyle w:val="Intertitre"/>
      </w:pPr>
      <w:r>
        <w:t xml:space="preserve">Clause optionnelle : Signatures</w:t>
      </w:r>
    </w:p>
    <w:p>
      <w:pPr>
        <w:pStyle w:val="Corps"/>
      </w:pPr>
      <w:r>
        <w:t xml:space="preserve">Fait à [Lieu de signature], le [Date de signature]. Chaque société signe par le représentant identifié dans [Tableau des signataires] après validation de ses annexes, pouvoirs et décisions. Les signatures sur exemplaires séparés ou électroniques sont rattachées à un texte et des annexes identiques, puis conservées avec les décisions et pouvoirs.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