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DÉCLARATION DE SUCCESSION - TRAME D'ACCOMPAGNEMENT</w:t>
      </w:r>
    </w:p>
    <w:p>
      <w:pPr>
        <w:pStyle w:val="Intertitre"/>
      </w:pPr>
      <w:r>
        <w:t xml:space="preserve">Déclaration de succession - dossier d'accompagnement</w:t>
      </w:r>
    </w:p>
    <w:p>
      <w:pPr>
        <w:pStyle w:val="Corps"/>
      </w:pPr>
      <w:r>
        <w:t xml:space="preserve">Dossier d'accompagnement de la déclaration de succession de [Défunt nom], référencé [Dossier référence]. Les tableaux et mentions ci-après sont destinés à être rapprochés des imprimés fiscaux et pièces déposés.</w:t>
      </w:r>
    </w:p>
    <w:p>
      <w:pPr>
        <w:pStyle w:val="Intertitre"/>
      </w:pPr>
      <w:r>
        <w:t xml:space="preserve">Portée du dossier</w:t>
      </w:r>
    </w:p>
    <w:p>
      <w:pPr>
        <w:pStyle w:val="Corps"/>
      </w:pPr>
      <w:r>
        <w:t xml:space="preserve">Le dossier rassemble l'identité, la dévolution, l'actif, le passif, les donations antérieures, les régimes sollicités, la liquidation des droits, le paiement et les annexes. Les imprimés officiels et les actes civils ou notariés correspondants sont identifiés et rapprochés de chaque rubrique.</w:t>
      </w:r>
    </w:p>
    <w:p>
      <w:pPr>
        <w:pStyle w:val="Intertitre"/>
      </w:pPr>
      <w:r>
        <w:t xml:space="preserve">Jeu d'imprimés principal</w:t>
      </w:r>
    </w:p>
    <w:p>
      <w:pPr>
        <w:pStyle w:val="Corps"/>
      </w:pPr>
      <w:r>
        <w:t xml:space="preserve">Le dossier principal comprend le formulaire [Main formulaire number], les feuilles [Continuation formulaire number] et l'état détaillé [Actif passif formulaire number] selon les rubriques effectivement nécessaires.</w:t>
      </w:r>
    </w:p>
    <w:p>
      <w:pPr>
        <w:pStyle w:val="Intertitre"/>
      </w:pPr>
      <w:r>
        <w:t xml:space="preserve"> — choisir une seule variante</w:t>
      </w:r>
    </w:p>
    <w:p>
      <w:pPr>
        <w:pStyle w:val="Variante"/>
      </w:pPr>
      <w:r>
        <w:t xml:space="preserve">Variante : Obligation de dépôt établie</w:t>
      </w:r>
    </w:p>
    <w:p>
      <w:pPr>
        <w:pStyle w:val="Corps"/>
      </w:pPr>
      <w:r>
        <w:t xml:space="preserve">L'obligation de souscrire une déclaration détaillée a été vérifiée selon [Dépôt obligation analysis] au regard des bénéficiaires, de l'actif brut et des donations antérieures.</w:t>
      </w:r>
    </w:p>
    <w:p>
      <w:pPr>
        <w:pStyle w:val="Variante"/>
      </w:pPr>
      <w:r>
        <w:t xml:space="preserve">Variante : Dépôt après contrôle d'une dispense</w:t>
      </w:r>
    </w:p>
    <w:p>
      <w:pPr>
        <w:pStyle w:val="Corps"/>
      </w:pPr>
      <w:r>
        <w:t xml:space="preserve">Le seuil de dispense a été examiné selon [Dépôt obligation analysis]. Les ayants cause déposent néanmoins le dossier afin de formaliser les éléments déclarés, sans que cette mention préjuge de l'obligation fiscale.</w:t>
      </w:r>
    </w:p>
    <w:p>
      <w:pPr>
        <w:pStyle w:val="Intertitre"/>
      </w:pPr>
      <w:r>
        <w:t xml:space="preserve">Seuils officiels de dispense contrôlés</w:t>
      </w:r>
    </w:p>
    <w:p>
      <w:pPr>
        <w:pStyle w:val="Corps"/>
      </w:pPr>
      <w:r>
        <w:t xml:space="preserve">Le contrôle retient le seuil de [Direct exemption threshold] pour les ayants cause en ligne directe, le conjoint survivant ou le partenaire de PACS dans les conditions légales, et le seuil de [Other exemption threshold] pour les autres ayants cause.</w:t>
      </w:r>
    </w:p>
    <w:p>
      <w:pPr>
        <w:pStyle w:val="Intertitre"/>
      </w:pPr>
      <w:r>
        <w:t xml:space="preserve">Identité du défunt</w:t>
      </w:r>
    </w:p>
    <w:p>
      <w:pPr>
        <w:pStyle w:val="Corps"/>
      </w:pPr>
      <w:r>
        <w:t xml:space="preserve">La succession est celle de [Défunt nom], dont la naissance est intervenue le [Naissance date] à [Naissance place], de nationalité [Défunt nationality], selon [Défunt identity preuve].</w:t>
      </w:r>
    </w:p>
    <w:p>
      <w:pPr>
        <w:pStyle w:val="Intertitre"/>
      </w:pPr>
      <w:r>
        <w:t xml:space="preserve">Décès</w:t>
      </w:r>
    </w:p>
    <w:p>
      <w:pPr>
        <w:pStyle w:val="Corps"/>
      </w:pPr>
      <w:r>
        <w:t xml:space="preserve">Le décès est survenu le [Décès date] à [Décès place] selon [Décès preuve]. La date d'ouverture de la succession et le lieu du décès sont repris sans extrapolation.</w:t>
      </w:r>
    </w:p>
    <w:p>
      <w:pPr>
        <w:pStyle w:val="Intertitre"/>
      </w:pPr>
      <w:r>
        <w:t xml:space="preserve">Domicile fiscal et dernier domicile</w:t>
      </w:r>
    </w:p>
    <w:p>
      <w:pPr>
        <w:pStyle w:val="Corps"/>
      </w:pPr>
      <w:r>
        <w:t xml:space="preserve">Le dernier domicile civil est [Défunt last address] et le domicile fiscal retenu est documenté par [Défunt fiscal domicile preuve]. Le service compétent est déterminé dans [Competent dépôt service analysis].</w:t>
      </w:r>
    </w:p>
    <w:p>
      <w:pPr>
        <w:pStyle w:val="Intertitre"/>
      </w:pPr>
      <w:r>
        <w:t xml:space="preserve">Profession et situation</w:t>
      </w:r>
    </w:p>
    <w:p>
      <w:pPr>
        <w:pStyle w:val="Corps"/>
      </w:pPr>
      <w:r>
        <w:t xml:space="preserve">La profession, le statut d'activité et les éléments utiles à la composition patrimoniale sont recensés dans [Défunt professional status] sans présumer l'existence d'une entreprise ou d'un régime fiscal.</w:t>
      </w:r>
    </w:p>
    <w:p>
      <w:pPr>
        <w:pStyle w:val="Intertitre"/>
      </w:pPr>
      <w:r>
        <w:t xml:space="preserve">Dispositions de dernières volontés</w:t>
      </w:r>
    </w:p>
    <w:p>
      <w:pPr>
        <w:pStyle w:val="Corps"/>
      </w:pPr>
      <w:r>
        <w:t xml:space="preserve">La recherche de testament, codicille, donation entre époux et autres dispositions résulte de [Last wills search preuve]. Les documents retrouvés sont identifiés dans [Last wills tableau].</w:t>
      </w:r>
    </w:p>
    <w:p>
      <w:pPr>
        <w:pStyle w:val="Intertitre"/>
      </w:pPr>
      <w:r>
        <w:t xml:space="preserve"> — choisir une seule variante</w:t>
      </w:r>
    </w:p>
    <w:p>
      <w:pPr>
        <w:pStyle w:val="Variante"/>
      </w:pPr>
      <w:r>
        <w:t xml:space="preserve">Variante : Déclaration souscrite par les bénéficiaires</w:t>
      </w:r>
    </w:p>
    <w:p>
      <w:pPr>
        <w:pStyle w:val="Corps"/>
      </w:pPr>
      <w:r>
        <w:t xml:space="preserve">Les héritiers, légataires ou donataires déclarants, leurs qualités, adresses, dates et lieux de naissance figurent dans [Déclarant tableau]. Leurs signatures et pouvoirs sont recensés séparément.</w:t>
      </w:r>
    </w:p>
    <w:p>
      <w:pPr>
        <w:pStyle w:val="Variante"/>
      </w:pPr>
      <w:r>
        <w:t xml:space="preserve">Variante : Notaire mandaté</w:t>
      </w:r>
    </w:p>
    <w:p>
      <w:pPr>
        <w:pStyle w:val="Corps"/>
      </w:pPr>
      <w:r>
        <w:t xml:space="preserve">La déclaration est préparée et transmise par [Notary identity] sur mandat établi par [Notary mandate preuve]. L'exemplaire signé par les mandants est conservé selon [Signed copy retention process].</w:t>
      </w:r>
    </w:p>
    <w:p>
      <w:pPr>
        <w:pStyle w:val="Variante"/>
      </w:pPr>
      <w:r>
        <w:t xml:space="preserve">Variante : Représentant légal</w:t>
      </w:r>
    </w:p>
    <w:p>
      <w:pPr>
        <w:pStyle w:val="Corps"/>
      </w:pPr>
      <w:r>
        <w:t xml:space="preserve">Le ou les déclarants sont représentés selon [Legal representative tableau] et les pouvoirs établis dans [Representation preuve]. La qualité du représentant est rapprochée de chaque bénéficiaire concerné.</w:t>
      </w:r>
    </w:p>
    <w:p>
      <w:pPr>
        <w:pStyle w:val="Intertitre"/>
      </w:pPr>
      <w:r>
        <w:t xml:space="preserve">Capacité, mandat et pouvoirs</w:t>
      </w:r>
    </w:p>
    <w:p>
      <w:pPr>
        <w:pStyle w:val="Corps"/>
      </w:pPr>
      <w:r>
        <w:t xml:space="preserve">La capacité, l'option successorale, le mandat et le pouvoir de signer sont vérifiés dans [Déclarant authority matrix]. Aucun déclarant ni représentant n'est présumé habilité.</w:t>
      </w:r>
    </w:p>
    <w:p>
      <w:pPr>
        <w:pStyle w:val="Intertitre"/>
      </w:pPr>
      <w:r>
        <w:t xml:space="preserve">Correspondance avec l'administration</w:t>
      </w:r>
    </w:p>
    <w:p>
      <w:pPr>
        <w:pStyle w:val="Corps"/>
      </w:pPr>
      <w:r>
        <w:t xml:space="preserve">Les coordonnées du déposant et du service chargé de l'enregistrement sont celles de [Dépôt contact tableau]. Les preuves d'envoi, de réception et de réponse sont conservées dans [Dépôt preuve register].</w:t>
      </w:r>
    </w:p>
    <w:p>
      <w:pPr>
        <w:pStyle w:val="Intertitre"/>
      </w:pPr>
      <w:r>
        <w:t xml:space="preserve"> — choisir une seule variante</w:t>
      </w:r>
    </w:p>
    <w:p>
      <w:pPr>
        <w:pStyle w:val="Variante"/>
      </w:pPr>
      <w:r>
        <w:t xml:space="preserve">Variante : Défunt non marié</w:t>
      </w:r>
    </w:p>
    <w:p>
      <w:pPr>
        <w:pStyle w:val="Corps"/>
      </w:pPr>
      <w:r>
        <w:t xml:space="preserve">La situation familiale au décès est établie par [Family status preuve] et ne nécessite aucune liquidation préalable de communauté matrimoniale.</w:t>
      </w:r>
    </w:p>
    <w:p>
      <w:pPr>
        <w:pStyle w:val="Variante"/>
      </w:pPr>
      <w:r>
        <w:t xml:space="preserve">Variante : Veuvage ou divorce antérieur</w:t>
      </w:r>
    </w:p>
    <w:p>
      <w:pPr>
        <w:pStyle w:val="Corps"/>
      </w:pPr>
      <w:r>
        <w:t xml:space="preserve">Le veuvage, divorce ou séparation antérieure et leurs effets patrimoniaux sont décrits dans [Former union status preuve]. Les indivisions ou créances subsistantes sont isolées dans [Former union actif tableau].</w:t>
      </w:r>
    </w:p>
    <w:p>
      <w:pPr>
        <w:pStyle w:val="Variante"/>
      </w:pPr>
      <w:r>
        <w:t xml:space="preserve">Variante : Liquidation d'un régime communautaire</w:t>
      </w:r>
    </w:p>
    <w:p>
      <w:pPr>
        <w:pStyle w:val="Corps"/>
      </w:pPr>
      <w:r>
        <w:t xml:space="preserve">Le mariage conclu le [Marriage date] et le régime matrimonial résultant de [Matrimonial instrument référence] conduisent à la liquidation décrite dans [Community liquidation calculation]. Les reprises, récompenses, créances entre époux et le boni de communauté sont justifiés.</w:t>
      </w:r>
    </w:p>
    <w:p>
      <w:pPr>
        <w:pStyle w:val="Variante"/>
      </w:pPr>
      <w:r>
        <w:t xml:space="preserve">Variante : Régime séparatiste</w:t>
      </w:r>
    </w:p>
    <w:p>
      <w:pPr>
        <w:pStyle w:val="Corps"/>
      </w:pPr>
      <w:r>
        <w:t xml:space="preserve">Le régime matrimonial séparatiste résulte de [Matrimonial instrument référence]. Les biens personnels, indivisions, créances entre époux et comptes de liquidation sont recensés dans [Separate immobilier liquidation tableau].</w:t>
      </w:r>
    </w:p>
    <w:p>
      <w:pPr>
        <w:pStyle w:val="Variante"/>
      </w:pPr>
      <w:r>
        <w:t xml:space="preserve">Variante : Pacte civil de solidarité</w:t>
      </w:r>
    </w:p>
    <w:p>
      <w:pPr>
        <w:pStyle w:val="Corps"/>
      </w:pPr>
      <w:r>
        <w:t xml:space="preserve">Le PACS enregistré le [Pacs date] et la convention correspondante sont identifiés dans [Pacs preuve]. Les indivisions, créances et droits du partenaire sont traités selon [Pacs actif tableau].</w:t>
      </w:r>
    </w:p>
    <w:p>
      <w:pPr>
        <w:pStyle w:val="Intertitre"/>
      </w:pPr>
      <w:r>
        <w:t xml:space="preserve"> — choisir une seule variante</w:t>
      </w:r>
    </w:p>
    <w:p>
      <w:pPr>
        <w:pStyle w:val="Variante"/>
      </w:pPr>
      <w:r>
        <w:t xml:space="preserve">Variante : Dévolution légale</w:t>
      </w:r>
    </w:p>
    <w:p>
      <w:pPr>
        <w:pStyle w:val="Corps"/>
      </w:pPr>
      <w:r>
        <w:t xml:space="preserve">La dévolution légale résulte de [Kinship preuve] et de [Devolution calculation]. Chaque héritier, son rang, son degré, sa vocation et sa quote-part sont individualisés.</w:t>
      </w:r>
    </w:p>
    <w:p>
      <w:pPr>
        <w:pStyle w:val="Variante"/>
      </w:pPr>
      <w:r>
        <w:t xml:space="preserve">Variante : Dévolution testamentaire</w:t>
      </w:r>
    </w:p>
    <w:p>
      <w:pPr>
        <w:pStyle w:val="Corps"/>
      </w:pPr>
      <w:r>
        <w:t xml:space="preserve">Les dispositions testamentaires sont recensées dans [Testamentary tableau] avec leur date, forme, dépôt, exécution et bénéficiaires. Leur articulation avec la réserve et la dévolution légale est exposée dans [Testamentary devolution analysis].</w:t>
      </w:r>
    </w:p>
    <w:p>
      <w:pPr>
        <w:pStyle w:val="Variante"/>
      </w:pPr>
      <w:r>
        <w:t xml:space="preserve">Variante : Donation entre époux</w:t>
      </w:r>
    </w:p>
    <w:p>
      <w:pPr>
        <w:pStyle w:val="Corps"/>
      </w:pPr>
      <w:r>
        <w:t xml:space="preserve">La donation entre époux [Interspousal donation référence] et l'option exercée par le conjoint survivant sont documentées dans [Spouse option preuve]. Les droits qui en résultent sont repris dans la liquidation.</w:t>
      </w:r>
    </w:p>
    <w:p>
      <w:pPr>
        <w:pStyle w:val="Variante"/>
      </w:pPr>
      <w:r>
        <w:t xml:space="preserve">Variante : Dévolution combinée</w:t>
      </w:r>
    </w:p>
    <w:p>
      <w:pPr>
        <w:pStyle w:val="Corps"/>
      </w:pPr>
      <w:r>
        <w:t xml:space="preserve">La dévolution combine les règles légales et les dispositions décrites dans [Mixed devolution sources]. L'ordre d'application, les réductions éventuelles et les droits définitifs figurent dans [Mixed devolution calculation].</w:t>
      </w:r>
    </w:p>
    <w:p>
      <w:pPr>
        <w:pStyle w:val="Intertitre"/>
      </w:pPr>
      <w:r>
        <w:t xml:space="preserve"> — choisir une seule variante</w:t>
      </w:r>
    </w:p>
    <w:p>
      <w:pPr>
        <w:pStyle w:val="Variante"/>
      </w:pPr>
      <w:r>
        <w:t xml:space="preserve">Variante : Conjoint, partenaire ou descendants</w:t>
      </w:r>
    </w:p>
    <w:p>
      <w:pPr>
        <w:pStyle w:val="Corps"/>
      </w:pPr>
      <w:r>
        <w:t xml:space="preserve">Le conjoint survivant, le partenaire de PACS ou les descendants concernés sont identifiés, selon le cas, dans [Direct bénéficiaire tableau] avec leur lien, leur vocation, leur option et leur quote-part.</w:t>
      </w:r>
    </w:p>
    <w:p>
      <w:pPr>
        <w:pStyle w:val="Variante"/>
      </w:pPr>
      <w:r>
        <w:t xml:space="preserve">Variante : Représentation successorale</w:t>
      </w:r>
    </w:p>
    <w:p>
      <w:pPr>
        <w:pStyle w:val="Corps"/>
      </w:pPr>
      <w:r>
        <w:t xml:space="preserve">Les bénéficiaires venant par représentation, les personnes représentées et la souche correspondante figurent dans [Representation bénéficiaire tableau] selon [Representation legal preuve].</w:t>
      </w:r>
    </w:p>
    <w:p>
      <w:pPr>
        <w:pStyle w:val="Variante"/>
      </w:pPr>
      <w:r>
        <w:t xml:space="preserve">Variante : Ascendants ou collatéraux</w:t>
      </w:r>
    </w:p>
    <w:p>
      <w:pPr>
        <w:pStyle w:val="Corps"/>
      </w:pPr>
      <w:r>
        <w:t xml:space="preserve">Les ascendants ou collatéraux, leur degré et leurs droits sont décrits dans [Collateral bénéficiaire tableau] selon les pièces de parenté [Collateral kinship preuve].</w:t>
      </w:r>
    </w:p>
    <w:p>
      <w:pPr>
        <w:pStyle w:val="Variante"/>
      </w:pPr>
      <w:r>
        <w:t xml:space="preserve">Variante : Légataires</w:t>
      </w:r>
    </w:p>
    <w:p>
      <w:pPr>
        <w:pStyle w:val="Corps"/>
      </w:pPr>
      <w:r>
        <w:t xml:space="preserve">Les légataires, la nature de leur legs, leurs droits et les conditions d'exécution sont recensés dans [Legatee tableau] selon [Legacy preuve].</w:t>
      </w:r>
    </w:p>
    <w:p>
      <w:pPr>
        <w:pStyle w:val="Variante"/>
      </w:pPr>
      <w:r>
        <w:t xml:space="preserve">Variante : Pluralité de catégories de bénéficiaires</w:t>
      </w:r>
    </w:p>
    <w:p>
      <w:pPr>
        <w:pStyle w:val="Corps"/>
      </w:pPr>
      <w:r>
        <w:t xml:space="preserve">Les héritiers, donataires et légataires de catégories différentes sont rapprochés dans [Mixed bénéficiaire tableau]. Le titre, la quote-part et le calcul de chacun sont individualisés.</w:t>
      </w:r>
    </w:p>
    <w:p>
      <w:pPr>
        <w:pStyle w:val="Intertitre"/>
      </w:pPr>
      <w:r>
        <w:t xml:space="preserve"> — choisir une seule variante</w:t>
      </w:r>
    </w:p>
    <w:p>
      <w:pPr>
        <w:pStyle w:val="Variante"/>
      </w:pPr>
      <w:r>
        <w:t xml:space="preserve">Variante : Acceptation pure et simple</w:t>
      </w:r>
    </w:p>
    <w:p>
      <w:pPr>
        <w:pStyle w:val="Corps"/>
      </w:pPr>
      <w:r>
        <w:t xml:space="preserve">Les bénéficiaires ayant accepté purement et simplement et les preuves de leur option figurent dans [Acceptance tableau].</w:t>
      </w:r>
    </w:p>
    <w:p>
      <w:pPr>
        <w:pStyle w:val="Variante"/>
      </w:pPr>
      <w:r>
        <w:t xml:space="preserve">Variante : Acceptation à concurrence de l'actif net</w:t>
      </w:r>
    </w:p>
    <w:p>
      <w:pPr>
        <w:pStyle w:val="Corps"/>
      </w:pPr>
      <w:r>
        <w:t xml:space="preserve">Les bénéficiaires ayant accepté à concurrence de l'actif net, les déclarations, publications, inventaires et délais associés figurent dans [Net actif acceptance tableau].</w:t>
      </w:r>
    </w:p>
    <w:p>
      <w:pPr>
        <w:pStyle w:val="Variante"/>
      </w:pPr>
      <w:r>
        <w:t xml:space="preserve">Variante : Options successorales multiples</w:t>
      </w:r>
    </w:p>
    <w:p>
      <w:pPr>
        <w:pStyle w:val="Corps"/>
      </w:pPr>
      <w:r>
        <w:t xml:space="preserve">Les acceptations, renonciations et options distinctes sont recensées bénéficiaire par bénéficiaire dans [Mixed acceptance tableau]. Seuls les bénéficiaires effectivement tenus ou habilités souscrivent la déclaration.</w:t>
      </w:r>
    </w:p>
    <w:p>
      <w:pPr>
        <w:pStyle w:val="Intertitre"/>
      </w:pPr>
      <w:r>
        <w:t xml:space="preserve"> — choisir une seule variante</w:t>
      </w:r>
    </w:p>
    <w:p>
      <w:pPr>
        <w:pStyle w:val="Variante"/>
      </w:pPr>
      <w:r>
        <w:t xml:space="preserve">Variante : Dépôt sur formulaires officiels</w:t>
      </w:r>
    </w:p>
    <w:p>
      <w:pPr>
        <w:pStyle w:val="Corps"/>
      </w:pPr>
      <w:r>
        <w:t xml:space="preserve">La déclaration est établie sur les imprimés [Main formulaire number], [Continuation formulaire number] et [Actif passif formulaire number], signés et déposés selon [Paper dépôt process].</w:t>
      </w:r>
    </w:p>
    <w:p>
      <w:pPr>
        <w:pStyle w:val="Variante"/>
      </w:pPr>
      <w:r>
        <w:t xml:space="preserve">Variante : Télétransmission notariale</w:t>
      </w:r>
    </w:p>
    <w:p>
      <w:pPr>
        <w:pStyle w:val="Corps"/>
      </w:pPr>
      <w:r>
        <w:t xml:space="preserve">Le notaire mandaté transmet la déclaration par le téléservice autorisé, certifie la conformité de son contenu à l'exemplaire conservé portant l'affirmation signée par les mandants et s'identifie selon [Electronic identification preuve].</w:t>
      </w:r>
    </w:p>
    <w:p>
      <w:pPr>
        <w:pStyle w:val="Intertitre"/>
      </w:pPr>
      <w:r>
        <w:t xml:space="preserve"> — choisir une seule variante</w:t>
      </w:r>
    </w:p>
    <w:p>
      <w:pPr>
        <w:pStyle w:val="Variante"/>
      </w:pPr>
      <w:r>
        <w:t xml:space="preserve">Variante : Délai applicable au décès en métropole</w:t>
      </w:r>
    </w:p>
    <w:p>
      <w:pPr>
        <w:pStyle w:val="Corps"/>
      </w:pPr>
      <w:r>
        <w:t xml:space="preserve">Le délai de dépôt est de [Metropolitan deadline months] mois à compter du décès. La date limite calculée est [Dépôt due date] selon [Deadline calculation preuve].</w:t>
      </w:r>
    </w:p>
    <w:p>
      <w:pPr>
        <w:pStyle w:val="Variante"/>
      </w:pPr>
      <w:r>
        <w:t xml:space="preserve">Variante : Délai applicable hors métropole</w:t>
      </w:r>
    </w:p>
    <w:p>
      <w:pPr>
        <w:pStyle w:val="Corps"/>
      </w:pPr>
      <w:r>
        <w:t xml:space="preserve">Le délai de référence est de [Other deadline months] mois à compter du décès, sous réserve des règles territoriales spéciales vérifiées. La date retenue est [Dépôt due date] selon [Deadline calculation preuve].</w:t>
      </w:r>
    </w:p>
    <w:p>
      <w:pPr>
        <w:pStyle w:val="Variante"/>
      </w:pPr>
      <w:r>
        <w:t xml:space="preserve">Variante : Délai spécial pour certains droits immobiliers</w:t>
      </w:r>
    </w:p>
    <w:p>
      <w:pPr>
        <w:pStyle w:val="Corps"/>
      </w:pPr>
      <w:r>
        <w:t xml:space="preserve">Le délai spécial de [Unpublished immobilier deadline months] mois est revendiqué au regard de [Unpublished immobilier preuve] et de la publication des attestations requises. La date limite retenue est [Dépôt due date].</w:t>
      </w:r>
    </w:p>
    <w:p>
      <w:pPr>
        <w:pStyle w:val="Variante"/>
      </w:pPr>
      <w:r>
        <w:t xml:space="preserve">Variante : Délai territorial spécial vérifié</w:t>
      </w:r>
    </w:p>
    <w:p>
      <w:pPr>
        <w:pStyle w:val="Corps"/>
      </w:pPr>
      <w:r>
        <w:t xml:space="preserve">Le délai spécial applicable résulte de [Special deadline legal basis] et son calcul est établi dans [Deadline calculation preuve]. La date limite retenue est [Dépôt due date].</w:t>
      </w:r>
    </w:p>
    <w:p>
      <w:pPr>
        <w:pStyle w:val="Intertitre"/>
      </w:pPr>
      <w:r>
        <w:t xml:space="preserve">Dépôt et récépissé</w:t>
      </w:r>
    </w:p>
    <w:p>
      <w:pPr>
        <w:pStyle w:val="Corps"/>
      </w:pPr>
      <w:r>
        <w:t xml:space="preserve">La date de dépôt renseignée est [Dépôt date] auprès de [Competent dépôt service]. Les preuves disponibles, la référence d'enregistrement, les échanges et compléments sont consignés dans [Dépôt preuve register].</w:t>
      </w:r>
    </w:p>
    <w:p>
      <w:pPr>
        <w:pStyle w:val="Intertitre"/>
      </w:pPr>
      <w:r>
        <w:t xml:space="preserve">Situation patrimoniale d'ouverture</w:t>
      </w:r>
    </w:p>
    <w:p>
      <w:pPr>
        <w:pStyle w:val="Corps"/>
      </w:pPr>
      <w:r>
        <w:t xml:space="preserve">La consistance du patrimoine au décès est établie par [Opening balance preuve] après liquidation du régime matrimonial et rapprochement des titres, comptes, inventaires et déclarations.</w:t>
      </w:r>
    </w:p>
    <w:p>
      <w:pPr>
        <w:pStyle w:val="Intertitre"/>
      </w:pPr>
      <w:r>
        <w:t xml:space="preserve">Récapitulation de l'actif brut</w:t>
      </w:r>
    </w:p>
    <w:p>
      <w:pPr>
        <w:pStyle w:val="Corps"/>
      </w:pPr>
      <w:r>
        <w:t xml:space="preserve">L'actif brut est détaillé dans [Gross actif tableau] et totalisé à [Gross succession valeur] selon les valeurs au décès et méthodes documentées dans [Évaluation method tableau].</w:t>
      </w:r>
    </w:p>
    <w:p>
      <w:pPr>
        <w:pStyle w:val="Intertitre"/>
      </w:pPr>
      <w:r>
        <w:t xml:space="preserve">Clause optionnelle : Immeubles et droits immobiliers</w:t>
      </w:r>
    </w:p>
    <w:p>
      <w:pPr>
        <w:pStyle w:val="Corps"/>
      </w:pPr>
      <w:r>
        <w:t xml:space="preserve">Les immeubles, droits réels, quotes-parts, origines de propriété, occupations et valeurs figurent dans [Real succession actif tableau] avec les titres et évaluations [Real succession évaluation preuve].</w:t>
      </w:r>
    </w:p>
    <w:p>
      <w:pPr>
        <w:pStyle w:val="Intertitre"/>
      </w:pPr>
      <w:r>
        <w:t xml:space="preserve">Clause optionnelle : Attestation immobilière et publicité</w:t>
      </w:r>
    </w:p>
    <w:p>
      <w:pPr>
        <w:pStyle w:val="Corps"/>
      </w:pPr>
      <w:r>
        <w:t xml:space="preserve">L'intervention notariale, les attestations de propriété et les formalités foncières sont suivies dans [Immobilier attestation tableau]. Elles ne sont pas réputées accomplies par le seul dépôt fiscal.</w:t>
      </w:r>
    </w:p>
    <w:p>
      <w:pPr>
        <w:pStyle w:val="Intertitre"/>
      </w:pPr>
      <w:r>
        <w:t xml:space="preserve">Clause optionnelle : Immeuble hors circonscription</w:t>
      </w:r>
    </w:p>
    <w:p>
      <w:pPr>
        <w:pStyle w:val="Corps"/>
      </w:pPr>
      <w:r>
        <w:t xml:space="preserve">Pour chaque immeuble situé hors de la circonscription du service du domicile, le formulaire [Immobilier formulaire number] et ses références sont recensés dans [Immobilier formulaire tableau].</w:t>
      </w:r>
    </w:p>
    <w:p>
      <w:pPr>
        <w:pStyle w:val="Intertitre"/>
      </w:pPr>
      <w:r>
        <w:t xml:space="preserve">Clause optionnelle : Comptes, liquidités et placements</w:t>
      </w:r>
    </w:p>
    <w:p>
      <w:pPr>
        <w:pStyle w:val="Corps"/>
      </w:pPr>
      <w:r>
        <w:t xml:space="preserve">Les comptes bancaires, espèces, livrets, dépôts et placements monétaires sont détaillés dans [Bank actif tableau] selon les attestations et soldes au décès [Bank balance preuve].</w:t>
      </w:r>
    </w:p>
    <w:p>
      <w:pPr>
        <w:pStyle w:val="Intertitre"/>
      </w:pPr>
      <w:r>
        <w:t xml:space="preserve">Clause optionnelle : Titres et participations</w:t>
      </w:r>
    </w:p>
    <w:p>
      <w:pPr>
        <w:pStyle w:val="Corps"/>
      </w:pPr>
      <w:r>
        <w:t xml:space="preserve">Les valeurs mobilières, titres cotés ou non cotés, droits sociaux et revenus courus figurent dans [Securities actif tableau] selon [Securities évaluation preuve].</w:t>
      </w:r>
    </w:p>
    <w:p>
      <w:pPr>
        <w:pStyle w:val="Intertitre"/>
      </w:pPr>
      <w:r>
        <w:t xml:space="preserve">Clause optionnelle : Entreprise, fonds ou activité professionnelle</w:t>
      </w:r>
    </w:p>
    <w:p>
      <w:pPr>
        <w:pStyle w:val="Corps"/>
      </w:pPr>
      <w:r>
        <w:t xml:space="preserve">Les entreprises, fonds, clientèles, actifs professionnels et participations opérationnelles sont décrits dans [Business actif tableau] et évalués selon [Business évaluation preuve].</w:t>
      </w:r>
    </w:p>
    <w:p>
      <w:pPr>
        <w:pStyle w:val="Intertitre"/>
      </w:pPr>
      <w:r>
        <w:t xml:space="preserve">Clause optionnelle : Meubles, véhicules, objets et collections</w:t>
      </w:r>
    </w:p>
    <w:p>
      <w:pPr>
        <w:pStyle w:val="Corps"/>
      </w:pPr>
      <w:r>
        <w:t xml:space="preserve">Les meubles meublants, véhicules, objets, bijoux, œuvres et collections sont recensés dans [Movable actif tableau] selon l'inventaire et les méthodes [Movable évaluation preuve].</w:t>
      </w:r>
    </w:p>
    <w:p>
      <w:pPr>
        <w:pStyle w:val="Intertitre"/>
      </w:pPr>
      <w:r>
        <w:t xml:space="preserve">Clause optionnelle : Créances et droits à recevoir</w:t>
      </w:r>
    </w:p>
    <w:p>
      <w:pPr>
        <w:pStyle w:val="Corps"/>
      </w:pPr>
      <w:r>
        <w:t xml:space="preserve">Les créances, remboursements, prix différés, comptes courants et droits à recevoir sont individualisés dans [Créance actif tableau] avec leur exigibilité et preuve [Créance preuve].</w:t>
      </w:r>
    </w:p>
    <w:p>
      <w:pPr>
        <w:pStyle w:val="Intertitre"/>
      </w:pPr>
      <w:r>
        <w:t xml:space="preserve">Clause optionnelle : Actifs numériques</w:t>
      </w:r>
    </w:p>
    <w:p>
      <w:pPr>
        <w:pStyle w:val="Corps"/>
      </w:pPr>
      <w:r>
        <w:t xml:space="preserve">Les actifs numériques, comptes, clés, plateformes, droits et valeurs sont recensés dans [Digital actif tableau] selon [Digital actif preuve] sans supposer leur disponibilité ou leur valeur.</w:t>
      </w:r>
    </w:p>
    <w:p>
      <w:pPr>
        <w:pStyle w:val="Intertitre"/>
      </w:pPr>
      <w:r>
        <w:t xml:space="preserve">Clause optionnelle : Actifs situés hors de France</w:t>
      </w:r>
    </w:p>
    <w:p>
      <w:pPr>
        <w:pStyle w:val="Corps"/>
      </w:pPr>
      <w:r>
        <w:t xml:space="preserve">Les biens, comptes, titres, trusts ou droits étrangers sont décrits dans [Étranger actif tableau]. Leur territorialité, valeur, impôt étranger et convention applicable sont analysés dans [Étranger fiscal analysis].</w:t>
      </w:r>
    </w:p>
    <w:p>
      <w:pPr>
        <w:pStyle w:val="Intertitre"/>
      </w:pPr>
      <w:r>
        <w:t xml:space="preserve">Clause optionnelle : Actifs litigieux ou incertains</w:t>
      </w:r>
    </w:p>
    <w:p>
      <w:pPr>
        <w:pStyle w:val="Corps"/>
      </w:pPr>
      <w:r>
        <w:t xml:space="preserve">Les actifs contestés, conditionnels, indivis ou difficiles à évaluer sont isolés dans [Disputed actif tableau] avec les réserves, procédures et méthodes retenues.</w:t>
      </w:r>
    </w:p>
    <w:p>
      <w:pPr>
        <w:pStyle w:val="Intertitre"/>
      </w:pPr>
      <w:r>
        <w:t xml:space="preserve"> — choisir une seule variante</w:t>
      </w:r>
    </w:p>
    <w:p>
      <w:pPr>
        <w:pStyle w:val="Variante"/>
      </w:pPr>
      <w:r>
        <w:t xml:space="preserve">Variante : Absence d'assurance-vie déclarative</w:t>
      </w:r>
    </w:p>
    <w:p>
      <w:pPr>
        <w:pStyle w:val="Corps"/>
      </w:pPr>
      <w:r>
        <w:t xml:space="preserve">Les recherches et réponses des assureurs consignées dans [Assurance search preuve] ne font apparaître aucun contrat nécessitant une déclaration partielle ou une intégration fiscale dans ce dossier.</w:t>
      </w:r>
    </w:p>
    <w:p>
      <w:pPr>
        <w:pStyle w:val="Variante"/>
      </w:pPr>
      <w:r>
        <w:t xml:space="preserve">Variante : Déclaration partielle d'assurance-vie</w:t>
      </w:r>
    </w:p>
    <w:p>
      <w:pPr>
        <w:pStyle w:val="Corps"/>
      </w:pPr>
      <w:r>
        <w:t xml:space="preserve">Les contrats concernés font l'objet du formulaire [Life assurance formulaire number] selon [Life assurance formulaire tableau]. Le bénéficiaire, les primes, dates, capitaux et certificats sont rapprochés contrat par contrat.</w:t>
      </w:r>
    </w:p>
    <w:p>
      <w:pPr>
        <w:pStyle w:val="Variante"/>
      </w:pPr>
      <w:r>
        <w:t xml:space="preserve">Variante : Primes relevant de l'article 757 B</w:t>
      </w:r>
    </w:p>
    <w:p>
      <w:pPr>
        <w:pStyle w:val="Corps"/>
      </w:pPr>
      <w:r>
        <w:t xml:space="preserve">Les primes et capitaux susceptibles de relever de l'article 757 B sont détaillés dans [Life assurance 757b tableau] et rapprochés du formulaire [Life assurance formulaire number]. Le montant taxable retenu est [Assurance taxable amount] selon [Assurance fiscal calculation].</w:t>
      </w:r>
    </w:p>
    <w:p>
      <w:pPr>
        <w:pStyle w:val="Variante"/>
      </w:pPr>
      <w:r>
        <w:t xml:space="preserve">Variante : Autre traitement d'assurance-vie vérifié</w:t>
      </w:r>
    </w:p>
    <w:p>
      <w:pPr>
        <w:pStyle w:val="Corps"/>
      </w:pPr>
      <w:r>
        <w:t xml:space="preserve">Le traitement distinct des contrats résulte de [Life assurance legal analysis] et des pièces [Life assurance preuve]. Aucun régime ni abattement n'est appliqué sans base vérifiée.</w:t>
      </w:r>
    </w:p>
    <w:p>
      <w:pPr>
        <w:pStyle w:val="Intertitre"/>
      </w:pPr>
      <w:r>
        <w:t xml:space="preserve"> — choisir une seule variante</w:t>
      </w:r>
    </w:p>
    <w:p>
      <w:pPr>
        <w:pStyle w:val="Variante"/>
      </w:pPr>
      <w:r>
        <w:t xml:space="preserve">Variante : Passif successoral justifié</w:t>
      </w:r>
    </w:p>
    <w:p>
      <w:pPr>
        <w:pStyle w:val="Corps"/>
      </w:pPr>
      <w:r>
        <w:t xml:space="preserve">Les dettes existant au décès sont détaillées article par article dans [Passif tableau] avec leur montant, créancier, origine, échéance et justificatif [Passif preuve tableau].</w:t>
      </w:r>
    </w:p>
    <w:p>
      <w:pPr>
        <w:pStyle w:val="Variante"/>
      </w:pPr>
      <w:r>
        <w:t xml:space="preserve">Variante : Passif comprenant une dette de restitution</w:t>
      </w:r>
    </w:p>
    <w:p>
      <w:pPr>
        <w:pStyle w:val="Corps"/>
      </w:pPr>
      <w:r>
        <w:t xml:space="preserve">Le passif ordinaire et les dettes de restitution sont séparés dans [Passif tableau]. Chaque dette de restitution fait l'objet de [Quasi usufruct passif analysis] au regard de son origine, de sa preuve et de l'article 774 bis.</w:t>
      </w:r>
    </w:p>
    <w:p>
      <w:pPr>
        <w:pStyle w:val="Variante"/>
      </w:pPr>
      <w:r>
        <w:t xml:space="preserve">Variante : Absence de passif revendiqué</w:t>
      </w:r>
    </w:p>
    <w:p>
      <w:pPr>
        <w:pStyle w:val="Corps"/>
      </w:pPr>
      <w:r>
        <w:t xml:space="preserve">Aucune dette n'est portée en déduction selon [No passif confirmation]. Cette absence résulte des recherches et rapprochements disponibles et non d'une présomption.</w:t>
      </w:r>
    </w:p>
    <w:p>
      <w:pPr>
        <w:pStyle w:val="Intertitre"/>
      </w:pPr>
      <w:r>
        <w:t xml:space="preserve">Clause optionnelle : Frais funéraires</w:t>
      </w:r>
    </w:p>
    <w:p>
      <w:pPr>
        <w:pStyle w:val="Corps"/>
      </w:pPr>
      <w:r>
        <w:t xml:space="preserve">Les frais funéraires justifiés s'élèvent à [Funeral expense amount]. La déduction forfaitaire est plafonnée à [Funeral expense déduction cap] selon le texte applicable, sous réserve de l'actif et des justificatifs.</w:t>
      </w:r>
    </w:p>
    <w:p>
      <w:pPr>
        <w:pStyle w:val="Intertitre"/>
      </w:pPr>
      <w:r>
        <w:t xml:space="preserve">Clause optionnelle : Dettes exclues ou soumises à contrôle renforcé</w:t>
      </w:r>
    </w:p>
    <w:p>
      <w:pPr>
        <w:pStyle w:val="Corps"/>
      </w:pPr>
      <w:r>
        <w:t xml:space="preserve">Les dettes non déduites, contestées ou soumises à une preuve particulière sont isolées dans [Excluded passif tableau] selon [Passif deductibility analysis].</w:t>
      </w:r>
    </w:p>
    <w:p>
      <w:pPr>
        <w:pStyle w:val="Intertitre"/>
      </w:pPr>
      <w:r>
        <w:t xml:space="preserve">Clause optionnelle : Passif litigieux</w:t>
      </w:r>
    </w:p>
    <w:p>
      <w:pPr>
        <w:pStyle w:val="Corps"/>
      </w:pPr>
      <w:r>
        <w:t xml:space="preserve">Les dettes contestées ou non définitivement chiffrées figurent dans [Disputed passif tableau] avec leur statut, preuve, provision éventuelle et traitement déclaratif.</w:t>
      </w:r>
    </w:p>
    <w:p>
      <w:pPr>
        <w:pStyle w:val="Intertitre"/>
      </w:pPr>
      <w:r>
        <w:t xml:space="preserve"> — choisir une seule variante</w:t>
      </w:r>
    </w:p>
    <w:p>
      <w:pPr>
        <w:pStyle w:val="Variante"/>
      </w:pPr>
      <w:r>
        <w:t xml:space="preserve">Variante : Absence de donation antérieure</w:t>
      </w:r>
    </w:p>
    <w:p>
      <w:pPr>
        <w:pStyle w:val="Corps"/>
      </w:pPr>
      <w:r>
        <w:t xml:space="preserve">Les recherches consignées dans [Prior donation search preuve] ne font apparaître aucune donation ou don manuel antérieur à rappeler.</w:t>
      </w:r>
    </w:p>
    <w:p>
      <w:pPr>
        <w:pStyle w:val="Variante"/>
      </w:pPr>
      <w:r>
        <w:t xml:space="preserve">Variante : Donation antérieure unique</w:t>
      </w:r>
    </w:p>
    <w:p>
      <w:pPr>
        <w:pStyle w:val="Corps"/>
      </w:pPr>
      <w:r>
        <w:t xml:space="preserve">La donation antérieure du [Donation date], son bénéficiaire, sa valeur, son acte et ses références d'enregistrement figurent dans [Prior donation tableau].</w:t>
      </w:r>
    </w:p>
    <w:p>
      <w:pPr>
        <w:pStyle w:val="Variante"/>
      </w:pPr>
      <w:r>
        <w:t xml:space="preserve">Variante : Pluralité de donations antérieures</w:t>
      </w:r>
    </w:p>
    <w:p>
      <w:pPr>
        <w:pStyle w:val="Corps"/>
      </w:pPr>
      <w:r>
        <w:t xml:space="preserve">Toutes les donations, donations-partages et dons manuels antérieurs sont recensés dans [Prior donation tableau] avec bénéficiaires, dates, valeurs, actes et enregistrements.</w:t>
      </w:r>
    </w:p>
    <w:p>
      <w:pPr>
        <w:pStyle w:val="Intertitre"/>
      </w:pPr>
      <w:r>
        <w:t xml:space="preserve">Clause optionnelle : Rappel fiscal</w:t>
      </w:r>
    </w:p>
    <w:p>
      <w:pPr>
        <w:pStyle w:val="Corps"/>
      </w:pPr>
      <w:r>
        <w:t xml:space="preserve">Le rappel fiscal est calculé sur une période de [Prior donation lookback years] années selon [Donation fiscal recall calculation]. Les donations plus anciennes restent mentionnées lorsqu'elles doivent l'être, sans consommation automatique d'abattement.</w:t>
      </w:r>
    </w:p>
    <w:p>
      <w:pPr>
        <w:pStyle w:val="Intertitre"/>
      </w:pPr>
      <w:r>
        <w:t xml:space="preserve">Actif net successoral</w:t>
      </w:r>
    </w:p>
    <w:p>
      <w:pPr>
        <w:pStyle w:val="Corps"/>
      </w:pPr>
      <w:r>
        <w:t xml:space="preserve">Après liquidation civile, l'actif brut de [Gross succession valeur] et le passif admis conduisent à un actif net de [Net succession valeur] selon [Net succession calculation].</w:t>
      </w:r>
    </w:p>
    <w:p>
      <w:pPr>
        <w:pStyle w:val="Intertitre"/>
      </w:pPr>
      <w:r>
        <w:t xml:space="preserve">Part de chaque bénéficiaire</w:t>
      </w:r>
    </w:p>
    <w:p>
      <w:pPr>
        <w:pStyle w:val="Corps"/>
      </w:pPr>
      <w:r>
        <w:t xml:space="preserve">Les droits civils, quotités, legs, réductions, rapports et attributions conduisent aux parts détaillées dans [Bénéficiaire share calculation]. Aucun montant individuel n'est déduit d'une simple qualité.</w:t>
      </w:r>
    </w:p>
    <w:p>
      <w:pPr>
        <w:pStyle w:val="Intertitre"/>
      </w:pPr>
      <w:r>
        <w:t xml:space="preserve">Clause optionnelle : Droits démembrés</w:t>
      </w:r>
    </w:p>
    <w:p>
      <w:pPr>
        <w:pStyle w:val="Corps"/>
      </w:pPr>
      <w:r>
        <w:t xml:space="preserve">Les droits en usufruit et nue-propriété sont identifiés dans [Dismembered right tableau] et valorisés selon [Dismemberment fiscal calculation] lorsqu'une valorisation fiscale est requise.</w:t>
      </w:r>
    </w:p>
    <w:p>
      <w:pPr>
        <w:pStyle w:val="Intertitre"/>
      </w:pPr>
      <w:r>
        <w:t xml:space="preserve">Clause optionnelle : Absence de régime de faveur revendiqué</w:t>
      </w:r>
    </w:p>
    <w:p>
      <w:pPr>
        <w:pStyle w:val="Corps"/>
      </w:pPr>
      <w:r>
        <w:t xml:space="preserve">Aucune exonération ou réduction particulière n'est revendiquée selon [No relief confirmation]. Les seules règles de liquidation appliquées sont celles documentées pour chaque bénéficiaire.</w:t>
      </w:r>
    </w:p>
    <w:p>
      <w:pPr>
        <w:pStyle w:val="Intertitre"/>
      </w:pPr>
      <w:r>
        <w:t xml:space="preserve">Clause optionnelle : Exonération du conjoint ou partenaire</w:t>
      </w:r>
    </w:p>
    <w:p>
      <w:pPr>
        <w:pStyle w:val="Corps"/>
      </w:pPr>
      <w:r>
        <w:t xml:space="preserve">L'exonération revendiquée pour le conjoint survivant ou partenaire de PACS est appliquée aux bénéficiaires identifiés dans [Spouse pacs relief tableau] selon [Spouse pacs status preuve].</w:t>
      </w:r>
    </w:p>
    <w:p>
      <w:pPr>
        <w:pStyle w:val="Intertitre"/>
      </w:pPr>
      <w:r>
        <w:t xml:space="preserve">Clause optionnelle : Abattement lié au handicap</w:t>
      </w:r>
    </w:p>
    <w:p>
      <w:pPr>
        <w:pStyle w:val="Corps"/>
      </w:pPr>
      <w:r>
        <w:t xml:space="preserve">L'abattement lié au handicap est sollicité pour [Disability relief bénéficiaire] selon les conditions et preuves réunies dans [Disability relief preuve].</w:t>
      </w:r>
    </w:p>
    <w:p>
      <w:pPr>
        <w:pStyle w:val="Intertitre"/>
      </w:pPr>
      <w:r>
        <w:t xml:space="preserve">Clause optionnelle : Exonération partielle Dutreil</w:t>
      </w:r>
    </w:p>
    <w:p>
      <w:pPr>
        <w:pStyle w:val="Corps"/>
      </w:pPr>
      <w:r>
        <w:t xml:space="preserve">L'exonération partielle est revendiquée pour les biens ou titres décrits dans [Dutreil actif tableau] selon les engagements, fonctions, attestations et calculs [Dutreil relief preuve].</w:t>
      </w:r>
    </w:p>
    <w:p>
      <w:pPr>
        <w:pStyle w:val="Intertitre"/>
      </w:pPr>
      <w:r>
        <w:t xml:space="preserve">Clause optionnelle : Autre régime justifié</w:t>
      </w:r>
    </w:p>
    <w:p>
      <w:pPr>
        <w:pStyle w:val="Corps"/>
      </w:pPr>
      <w:r>
        <w:t xml:space="preserve">Le régime revendiqué est décrit dans [Other relief description] avec son fondement, son assiette, ses conditions, engagements et justificatifs [Other relief preuve].</w:t>
      </w:r>
    </w:p>
    <w:p>
      <w:pPr>
        <w:pStyle w:val="Intertitre"/>
      </w:pPr>
      <w:r>
        <w:t xml:space="preserve">Assiette taxable</w:t>
      </w:r>
    </w:p>
    <w:p>
      <w:pPr>
        <w:pStyle w:val="Corps"/>
      </w:pPr>
      <w:r>
        <w:t xml:space="preserve">Après application des règles propres à chaque bien et bénéficiaire, l'assiette taxable totale est de [Taxable succession valeur] selon [Taxable succession calculation].</w:t>
      </w:r>
    </w:p>
    <w:p>
      <w:pPr>
        <w:pStyle w:val="Corps"/>
      </w:pPr>
      <w:r>
        <w:t xml:space="preserve">L'assiette est reconstituée bénéficiaire par bénéficiaire après détermination des droits civils, des rapports, réductions, exonérations et abattements applicables. Les calculs indiquent leur date de référence et ne remplacent pas les formulaires officiels ni les liquidations opérées par le professionnel compétent.</w:t>
      </w:r>
    </w:p>
    <w:p>
      <w:pPr>
        <w:pStyle w:val="Intertitre"/>
      </w:pPr>
      <w:r>
        <w:t xml:space="preserve">Liquidation des droits</w:t>
      </w:r>
    </w:p>
    <w:p>
      <w:pPr>
        <w:pStyle w:val="Corps"/>
      </w:pPr>
      <w:r>
        <w:t xml:space="preserve">Les abattements, tarifs, réductions, rappels et imputations sont détaillés bénéficiaire par bénéficiaire dans [Succession fiscal calculation]. Le total des droits ressort à [Succession fiscal total].</w:t>
      </w:r>
    </w:p>
    <w:p>
      <w:pPr>
        <w:pStyle w:val="Intertitre"/>
      </w:pPr>
      <w:r>
        <w:t xml:space="preserve">Clause optionnelle : Impôt acquitté hors de France</w:t>
      </w:r>
    </w:p>
    <w:p>
      <w:pPr>
        <w:pStyle w:val="Corps"/>
      </w:pPr>
      <w:r>
        <w:t xml:space="preserve">L'impôt acquitté hors de France et son imputation éventuelle sont documentés dans [Étranger fiscal credit analysis] pour un montant retenu de [Étranger fiscal credit amount].</w:t>
      </w:r>
    </w:p>
    <w:p>
      <w:pPr>
        <w:pStyle w:val="Intertitre"/>
      </w:pPr>
      <w:r>
        <w:t xml:space="preserve"> — choisir une seule variante</w:t>
      </w:r>
    </w:p>
    <w:p>
      <w:pPr>
        <w:pStyle w:val="Variante"/>
      </w:pPr>
      <w:r>
        <w:t xml:space="preserve">Variante : Paiement comptant</w:t>
      </w:r>
    </w:p>
    <w:p>
      <w:pPr>
        <w:pStyle w:val="Corps"/>
      </w:pPr>
      <w:r>
        <w:t xml:space="preserve">Les droits sont acquittés lors du dépôt pour [Paiement amount] selon [Immediate paiement preuve]. Les contributions de chaque redevable sont recensées sans modifier la solidarité légale.</w:t>
      </w:r>
    </w:p>
    <w:p>
      <w:pPr>
        <w:pStyle w:val="Variante"/>
      </w:pPr>
      <w:r>
        <w:t xml:space="preserve">Variante : Demande de paiement fractionné</w:t>
      </w:r>
    </w:p>
    <w:p>
      <w:pPr>
        <w:pStyle w:val="Corps"/>
      </w:pPr>
      <w:r>
        <w:t xml:space="preserve">La demande prévoit au plus [Fractioned max installments] versements sur [Fractioned max years] année selon [Fractioned paiement tableau] et [Paiement security preuve]. Lorsque les biens non liquides atteignent [Illiquid actif threshold percent] pour cent de l'actif, la demande documente au plus [Illiquid max installments] versements sur [Illiquid max years] années.</w:t>
      </w:r>
    </w:p>
    <w:p>
      <w:pPr>
        <w:pStyle w:val="Variante"/>
      </w:pPr>
      <w:r>
        <w:t xml:space="preserve">Variante : Demande de paiement différé</w:t>
      </w:r>
    </w:p>
    <w:p>
      <w:pPr>
        <w:pStyle w:val="Corps"/>
      </w:pPr>
      <w:r>
        <w:t xml:space="preserve">La demande de paiement différé précise la situation ouvrant droit au différé, les droits concernés, le terme, les intérêts, les garanties et les événements d'exigibilité dans [Deferred paiement tableau] et [Paiement security preuve].</w:t>
      </w:r>
    </w:p>
    <w:p>
      <w:pPr>
        <w:pStyle w:val="Intertitre"/>
      </w:pPr>
      <w:r>
        <w:t xml:space="preserve">Répartition et solidarité</w:t>
      </w:r>
    </w:p>
    <w:p>
      <w:pPr>
        <w:pStyle w:val="Corps"/>
      </w:pPr>
      <w:r>
        <w:t xml:space="preserve">La contribution entre redevables et les paiements effectués sont recensés dans [Paiement allocation tableau]. La répartition interne ne vaut ni décharge de l'administration ni renonciation entre parties.</w:t>
      </w:r>
    </w:p>
    <w:p>
      <w:pPr>
        <w:pStyle w:val="Intertitre"/>
      </w:pPr>
      <w:r>
        <w:t xml:space="preserve">Rapprochement des formulaires</w:t>
      </w:r>
    </w:p>
    <w:p>
      <w:pPr>
        <w:pStyle w:val="Corps"/>
      </w:pPr>
      <w:r>
        <w:t xml:space="preserve">Les montants et identités des formulaires [Main formulaire number], [Continuation formulaire number], [Actif passif formulaire number], et des formulaires complémentaires applicables sont rapprochés dans [Formulaire reconciliation tableau].</w:t>
      </w:r>
    </w:p>
    <w:p>
      <w:pPr>
        <w:pStyle w:val="Corps"/>
      </w:pPr>
      <w:r>
        <w:t xml:space="preserve">Les totaux et reports sont vérifiés entre les différents imprimés avant dépôt.</w:t>
      </w:r>
    </w:p>
    <w:p>
      <w:pPr>
        <w:pStyle w:val="Intertitre"/>
      </w:pPr>
      <w:r>
        <w:t xml:space="preserve">Pièces civiles</w:t>
      </w:r>
    </w:p>
    <w:p>
      <w:pPr>
        <w:pStyle w:val="Corps"/>
      </w:pPr>
      <w:r>
        <w:t xml:space="preserve">Les actes d'état civil, de notoriété, dispositions de dernières volontés, options successorales, régime matrimonial, mandats et pouvoirs sont recensés dans [Civil document tableau].</w:t>
      </w:r>
    </w:p>
    <w:p>
      <w:pPr>
        <w:pStyle w:val="Intertitre"/>
      </w:pPr>
      <w:r>
        <w:t xml:space="preserve">Pièces d'actif et de passif</w:t>
      </w:r>
    </w:p>
    <w:p>
      <w:pPr>
        <w:pStyle w:val="Corps"/>
      </w:pPr>
      <w:r>
        <w:t xml:space="preserve">Les titres, relevés, évaluations, inventaires, attestations bancaires, justificatifs de dettes, factures et preuves de paiement figurent dans [Financial document tableau].</w:t>
      </w:r>
    </w:p>
    <w:p>
      <w:pPr>
        <w:pStyle w:val="Corps"/>
      </w:pPr>
      <w:r>
        <w:t xml:space="preserve">Chaque actif et passif est rattaché à une pièce datée, à un titulaire et à une valeur retenue selon une méthode explicite. Les comptes joints, biens démembrés, contrats d'assurance, récompenses, créances entre époux et dettes discutées sont isolés afin d'éviter une agrégation trompeuse dans l'actif net.</w:t>
      </w:r>
    </w:p>
    <w:p>
      <w:pPr>
        <w:pStyle w:val="Intertitre"/>
      </w:pPr>
      <w:r>
        <w:t xml:space="preserve">Justificatifs fiscaux</w:t>
      </w:r>
    </w:p>
    <w:p>
      <w:pPr>
        <w:pStyle w:val="Corps"/>
      </w:pPr>
      <w:r>
        <w:t xml:space="preserve">Les donations antérieures, attestations, engagements, formulaires d'assurance-vie, calculs, crédits d'impôt et demandes de paiement sont recensés dans [Fiscal document tableau].</w:t>
      </w:r>
    </w:p>
    <w:p>
      <w:pPr>
        <w:pStyle w:val="Intertitre"/>
      </w:pPr>
      <w:r>
        <w:t xml:space="preserve">Bordereau des annexes</w:t>
      </w:r>
    </w:p>
    <w:p>
      <w:pPr>
        <w:pStyle w:val="Corps"/>
      </w:pPr>
      <w:r>
        <w:t xml:space="preserve">Le bordereau [Annex tableau] identifie chaque pièce, son auteur, sa date, son objet, sa version et la rubrique déclarative correspondante. Toute pièce manquante est signalée avant dépôt.</w:t>
      </w:r>
    </w:p>
    <w:p>
      <w:pPr>
        <w:pStyle w:val="Intertitre"/>
      </w:pPr>
      <w:r>
        <w:t xml:space="preserve">Affirmation de sincérité</w:t>
      </w:r>
    </w:p>
    <w:p>
      <w:pPr>
        <w:pStyle w:val="Corps"/>
      </w:pPr>
      <w:r>
        <w:t xml:space="preserve">[Sincerity statement] Cette déclaration est souscrite au vu des informations et pièces patrimoniales expressément recensées dans le dossier successoral.</w:t>
      </w:r>
    </w:p>
    <w:p>
      <w:pPr>
        <w:pStyle w:val="Corps"/>
      </w:pPr>
      <w:r>
        <w:t xml:space="preserve">Les déclarants signalent les éléments encore inconnus, contestés ou en cours d'évaluation et s'engagent à transmettre les compléments nécessaires. L'affirmation de sincérité ne transforme pas une estimation en valeur définitivement admise et n'efface pas l'obligation de rectifier une omission découverte ultérieurement.</w:t>
      </w:r>
    </w:p>
    <w:p>
      <w:pPr>
        <w:pStyle w:val="Corps"/>
      </w:pPr>
      <w:r>
        <w:t xml:space="preserve">Toute déclaration rectificative identifie l'élément corrigé, son justificatif et la version antérieure afin de préserver la traçabilité du dossier successoral.</w:t>
      </w:r>
    </w:p>
    <w:p>
      <w:pPr>
        <w:pStyle w:val="Intertitre"/>
      </w:pPr>
      <w:r>
        <w:t xml:space="preserve">Clause optionnelle : Signatures des déclarants</w:t>
      </w:r>
    </w:p>
    <w:p>
      <w:pPr>
        <w:pStyle w:val="Corps"/>
      </w:pPr>
      <w:r>
        <w:t xml:space="preserve">Les déclarants identifiés dans [Déclarant signature tableau] signent le dossier à [Signature place] le [Signature date] après vérification des formulaires et annexes.</w:t>
      </w:r>
    </w:p>
    <w:p>
      <w:pPr>
        <w:pStyle w:val="Intertitre"/>
      </w:pPr>
      <w:r>
        <w:t xml:space="preserve">Clause optionnelle : Certification et signature notariales</w:t>
      </w:r>
    </w:p>
    <w:p>
      <w:pPr>
        <w:pStyle w:val="Corps"/>
      </w:pPr>
      <w:r>
        <w:t xml:space="preserve">Le notaire [Notary identity] certifie la conformité de la télétransmission à l'exemplaire conservé comportant l'affirmation signée par les mandants et signe selon [Notary signature preuve].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