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ENGAGEMENT COLLECTIF OU UNILATÉRAL DE CONSERVATION DUTREIL</w:t>
      </w:r>
    </w:p>
    <w:p>
      <w:pPr>
        <w:pStyle w:val="Intertitre"/>
      </w:pPr>
      <w:r>
        <w:t xml:space="preserve"> — choisir une seule variante</w:t>
      </w:r>
    </w:p>
    <w:p>
      <w:pPr>
        <w:pStyle w:val="Variante"/>
      </w:pPr>
      <w:r>
        <w:t xml:space="preserve">Variante : Engagement collectif de conservation</w:t>
      </w:r>
    </w:p>
    <w:p>
      <w:pPr>
        <w:pStyle w:val="Corps"/>
      </w:pPr>
      <w:r>
        <w:t xml:space="preserve">Engagement collectif de conservation portant sur les titres de [Target société nom], établi pour le dossier [Dossier référence]. Il est souscrit par plusieurs détenteurs identifiés et ne produit d'effet qu'à l'égard des titres, droits et périodes expressément recensés.</w:t>
      </w:r>
    </w:p>
    <w:p>
      <w:pPr>
        <w:pStyle w:val="Variante"/>
      </w:pPr>
      <w:r>
        <w:t xml:space="preserve">Variante : Engagement unilatéral de conservation</w:t>
      </w:r>
    </w:p>
    <w:p>
      <w:pPr>
        <w:pStyle w:val="Corps"/>
      </w:pPr>
      <w:r>
        <w:t xml:space="preserve">Engagement unilatéral de conservation portant sur les titres de [Target société nom], établi pour le dossier [Dossier référence]. Il est souscrit par un détenteur unique pour lui-même et ses ayants cause à titre gratuit, dans les limites décrites par le présent acte.</w:t>
      </w:r>
    </w:p>
    <w:p>
      <w:pPr>
        <w:pStyle w:val="Variante"/>
      </w:pPr>
      <w:r>
        <w:t xml:space="preserve">Variante : Engagement de conservation conclu après décès</w:t>
      </w:r>
    </w:p>
    <w:p>
      <w:pPr>
        <w:pStyle w:val="Corps"/>
      </w:pPr>
      <w:r>
        <w:t xml:space="preserve">Engagement de conservation portant sur les titres de [Target société nom], conclu après le décès de [Deceased holder nom] dans le dossier [Dossier référence]. L'acte distingue la date du décès, la date de transmission et la date de conclusion afin de contrôler le délai propre à cette route.</w:t>
      </w:r>
    </w:p>
    <w:p>
      <w:pPr>
        <w:pStyle w:val="Variante"/>
      </w:pPr>
      <w:r>
        <w:t xml:space="preserve">Variante : Constat des conditions de l'engagement réputé acquis</w:t>
      </w:r>
    </w:p>
    <w:p>
      <w:pPr>
        <w:pStyle w:val="Corps"/>
      </w:pPr>
      <w:r>
        <w:t xml:space="preserve">Acte constatant les conditions de l'engagement réputé acquis pour les titres de [Target société nom], dans le dossier [Dossier référence]. Ce constat réunit les preuves antérieures sans créer rétroactivement un engagement exprès ni modifier la date réelle de détention ou de fonction.</w:t>
      </w:r>
    </w:p>
    <w:p>
      <w:pPr>
        <w:pStyle w:val="Intertitre"/>
      </w:pPr>
      <w:r>
        <w:t xml:space="preserve"> — choisir une seule variante</w:t>
      </w:r>
    </w:p>
    <w:p>
      <w:pPr>
        <w:pStyle w:val="Variante"/>
      </w:pPr>
      <w:r>
        <w:t xml:space="preserve">Variante : Signataire personne physique</w:t>
      </w:r>
    </w:p>
    <w:p>
      <w:pPr>
        <w:pStyle w:val="Corps"/>
      </w:pPr>
      <w:r>
        <w:t xml:space="preserve">Le signataire principal est [Signataire full nom], domicilié [Signataire adresse], détenteur des titres recensés dans [Signataire titre tableau]. Son identité, sa capacité, son régime matrimonial utile et la propriété des titres sont rapprochés des pièces annexées avant la signature.</w:t>
      </w:r>
    </w:p>
    <w:p>
      <w:pPr>
        <w:pStyle w:val="Variante"/>
      </w:pPr>
      <w:r>
        <w:t xml:space="preserve">Variante : Signataire personne morale</w:t>
      </w:r>
    </w:p>
    <w:p>
      <w:pPr>
        <w:pStyle w:val="Corps"/>
      </w:pPr>
      <w:r>
        <w:t xml:space="preserve">Le signataire principal est [Signataire legal nom], [Signataire legal forme], dont le siège est situé [Signataire registered office], immatriculé sous [Signataire enregistrement nombre], représenté par [Signataire représentant nom], en qualité de [Signataire représentant capacity], habilité selon [Signataire pouvoir justificatif]. La décision de souscrire, l'intérêt de la personne morale et la portée du pouvoir de son représentant sont vérifiés pour les titres concernés.</w:t>
      </w:r>
    </w:p>
    <w:p>
      <w:pPr>
        <w:pStyle w:val="Intertitre"/>
      </w:pPr>
      <w:r>
        <w:t xml:space="preserve">Clause optionnelle : Autres signataires</w:t>
      </w:r>
    </w:p>
    <w:p>
      <w:pPr>
        <w:pStyle w:val="Corps"/>
      </w:pPr>
      <w:r>
        <w:t xml:space="preserve">Les autres signataires, leurs pouvoirs, leurs titres et leurs ayants cause à titre gratuit sont identifiés dans [Cosignatory tableau]. L'annexe indique pour chacun le nombre de titres, les catégories, les droits financiers et de vote, la date d'entrée et la signature.</w:t>
      </w:r>
    </w:p>
    <w:p>
      <w:pPr>
        <w:pStyle w:val="Intertitre"/>
      </w:pPr>
      <w:r>
        <w:t xml:space="preserve">Clause optionnelle : Engagement souscrit par une personne seule</w:t>
      </w:r>
    </w:p>
    <w:p>
      <w:pPr>
        <w:pStyle w:val="Corps"/>
      </w:pPr>
      <w:r>
        <w:t xml:space="preserve">Le signataire souscrit seul l'engagement pour lui et ses ayants cause à titre gratuit, sans déclarer l'existence d'un autre signataire. La propriété et les seuils sont contrôlés sans agréger les titres d'une personne qui ne serait ni visée par la route choisie ni signataire.</w:t>
      </w:r>
    </w:p>
    <w:p>
      <w:pPr>
        <w:pStyle w:val="Intertitre"/>
      </w:pPr>
      <w:r>
        <w:t xml:space="preserve">Clause optionnelle : Héritiers ou légataires signataires</w:t>
      </w:r>
    </w:p>
    <w:p>
      <w:pPr>
        <w:pStyle w:val="Corps"/>
      </w:pPr>
      <w:r>
        <w:t xml:space="preserve">Les héritiers ou légataires signataires, leur qualité et les titres compris dans la transmission sont recensés dans [Heir legatee tableau]. Leurs pouvoirs résultent de [Succession capacity preuve]. Aucun héritier ou légataire n'est engagé au-delà des titres qu'il reçoit et de l'acte qu'il signe dans le délai applicable.</w:t>
      </w:r>
    </w:p>
    <w:p>
      <w:pPr>
        <w:pStyle w:val="Intertitre"/>
      </w:pPr>
      <w:r>
        <w:t xml:space="preserve">Pouvoirs et capacité</w:t>
      </w:r>
    </w:p>
    <w:p>
      <w:pPr>
        <w:pStyle w:val="Corps"/>
      </w:pPr>
      <w:r>
        <w:t xml:space="preserve">Chaque signataire déclare disposer de la capacité et des pouvoirs établis par [Signataire pouvoir preuve tableau] pour soumettre les titres identifiés au présent acte. Une indivision, un démembrement, une incapacité ou une représentation particulière est traitée par la pièce et le pouvoir correspondant, sans présomption.</w:t>
      </w:r>
    </w:p>
    <w:p>
      <w:pPr>
        <w:pStyle w:val="Intertitre"/>
      </w:pPr>
      <w:r>
        <w:t xml:space="preserve">Société dont les titres sont concernés</w:t>
      </w:r>
    </w:p>
    <w:p>
      <w:pPr>
        <w:pStyle w:val="Corps"/>
      </w:pPr>
      <w:r>
        <w:t xml:space="preserve">La société est [Target société nom], [Target société legal forme], dont le siège est situé [Target société registered office], immatriculée sous [Target société enregistrement nombre], au capital de [Société titre capital], divisé selon [Société titre catégorie tableau]. L'extrait d'immatriculation, les statuts à jour et le registre des titres sont rapprochés afin d'éviter toute discordance de capital ou de catégorie.</w:t>
      </w:r>
    </w:p>
    <w:p>
      <w:pPr>
        <w:pStyle w:val="Intertitre"/>
      </w:pPr>
      <w:r>
        <w:t xml:space="preserve">Capital et droits attachés</w:t>
      </w:r>
    </w:p>
    <w:p>
      <w:pPr>
        <w:pStyle w:val="Corps"/>
      </w:pPr>
      <w:r>
        <w:t xml:space="preserve">Le capital, les catégories de titres, les droits financiers et les droits de vote sont décrits dans [Société droits tableau] et rapprochés des statuts [Société articles référence]. Les droits retenus pour chaque seuil correspondent aux droits juridiquement attachés aux titres à la date du calcul et non à leur seule valeur nominale.</w:t>
      </w:r>
    </w:p>
    <w:p>
      <w:pPr>
        <w:pStyle w:val="Intertitre"/>
      </w:pPr>
      <w:r>
        <w:t xml:space="preserve">Objet fiscal poursuivi</w:t>
      </w:r>
    </w:p>
    <w:p>
      <w:pPr>
        <w:pStyle w:val="Corps"/>
      </w:pPr>
      <w:r>
        <w:t xml:space="preserve">Le présent dispositif est documenté en vue d'une exonération partielle pouvant atteindre [Legal exemption rate] de la fraction de valeur éligible, sous réserve du respect de toutes les conditions lors de la transmission et jusqu'au terme des obligations. Le présent acte ne constate pas à lui seul cette éligibilité. L'exonération demeure conditionnelle à la transmission, à la valeur éligible et au respect continu des obligations collectives, individuelles, de direction et déclaratives.</w:t>
      </w:r>
    </w:p>
    <w:p>
      <w:pPr>
        <w:pStyle w:val="Intertitre"/>
      </w:pPr>
      <w:r>
        <w:t xml:space="preserve"> — choisir une seule variante</w:t>
      </w:r>
    </w:p>
    <w:p>
      <w:pPr>
        <w:pStyle w:val="Variante"/>
      </w:pPr>
      <w:r>
        <w:t xml:space="preserve">Variante : Titres admis sur un marché réglementé</w:t>
      </w:r>
    </w:p>
    <w:p>
      <w:pPr>
        <w:pStyle w:val="Corps"/>
      </w:pPr>
      <w:r>
        <w:t xml:space="preserve">Les titres sont admis à la négociation sur [Regulated marché nom]. Le calcul des seuils et la formalité de marché sont traités selon cette qualification. Le marché, la date d'admission, le nombre de titres en circulation et les informations requises sont établis avant d'appliquer les seuils cotés.</w:t>
      </w:r>
    </w:p>
    <w:p>
      <w:pPr>
        <w:pStyle w:val="Variante"/>
      </w:pPr>
      <w:r>
        <w:t xml:space="preserve">Variante : Titres non cotés</w:t>
      </w:r>
    </w:p>
    <w:p>
      <w:pPr>
        <w:pStyle w:val="Corps"/>
      </w:pPr>
      <w:r>
        <w:t xml:space="preserve">Les titres ne sont pas admis à la négociation sur un marché réglementé. Les seuils applicables aux sociétés non cotées sont retenus. Cette qualification est contrôlée à la date de l'acte et lors de toute évolution susceptible de modifier les seuils ou formalités applicables.</w:t>
      </w:r>
    </w:p>
    <w:p>
      <w:pPr>
        <w:pStyle w:val="Intertitre"/>
      </w:pPr>
      <w:r>
        <w:t xml:space="preserve"> — choisir une seule variante</w:t>
      </w:r>
    </w:p>
    <w:p>
      <w:pPr>
        <w:pStyle w:val="Variante"/>
      </w:pPr>
      <w:r>
        <w:t xml:space="preserve">Variante : Société soumise à l'impôt sur les sociétés</w:t>
      </w:r>
    </w:p>
    <w:p>
      <w:pPr>
        <w:pStyle w:val="Corps"/>
      </w:pPr>
      <w:r>
        <w:t xml:space="preserve">La société relève de l'impôt sur les sociétés selon [Corporate fiscal statut preuve]. La fonction de direction sera qualifiée au regard de ce régime. La preuve précise si l'imposition résulte de plein droit ou d'une option et sa date d'effet, afin de sélectionner la condition de direction exacte.</w:t>
      </w:r>
    </w:p>
    <w:p>
      <w:pPr>
        <w:pStyle w:val="Variante"/>
      </w:pPr>
      <w:r>
        <w:t xml:space="preserve">Variante : Société relevant du régime des sociétés de personnes</w:t>
      </w:r>
    </w:p>
    <w:p>
      <w:pPr>
        <w:pStyle w:val="Corps"/>
      </w:pPr>
      <w:r>
        <w:t xml:space="preserve">La société relève des articles 8 ou 8 ter selon [Partnership fiscal statut preuve]. L'activité professionnelle principale sera contrôlée au regard de ce régime. La preuve identifie le régime fiscal pendant toute la période suivie et permet de contrôler l'exercice effectif de l'activité professionnelle principale.</w:t>
      </w:r>
    </w:p>
    <w:p>
      <w:pPr>
        <w:pStyle w:val="Intertitre"/>
      </w:pPr>
      <w:r>
        <w:t xml:space="preserve"> — choisir une seule variante</w:t>
      </w:r>
    </w:p>
    <w:p>
      <w:pPr>
        <w:pStyle w:val="Variante"/>
      </w:pPr>
      <w:r>
        <w:t xml:space="preserve">Variante : Activité opérationnelle éligible</w:t>
      </w:r>
    </w:p>
    <w:p>
      <w:pPr>
        <w:pStyle w:val="Corps"/>
      </w:pPr>
      <w:r>
        <w:t xml:space="preserve">L'activité principale est [Éligible activité description]. Son caractère industriel, commercial, artisanal, agricole ou libéral est établi par [Éligible activité preuve tableau]. Les revenus, actifs, moyens humains, contrats et décisions de la société sont cohérents avec cette activité et sont réexaminés pendant la période de conservation.</w:t>
      </w:r>
    </w:p>
    <w:p>
      <w:pPr>
        <w:pStyle w:val="Variante"/>
      </w:pPr>
      <w:r>
        <w:t xml:space="preserve">Variante : Holding animatrice</w:t>
      </w:r>
    </w:p>
    <w:p>
      <w:pPr>
        <w:pStyle w:val="Corps"/>
      </w:pPr>
      <w:r>
        <w:t xml:space="preserve">La société participe activement à la conduite de la politique du groupe [Contrôlé group description], contrôle les filiales recensées dans [Contrôlé subsidiary tableau] et rend les services internes [Internal service tableau]. Le caractère principal de cette animation est établi dans [Détention animation preuve]. Les décisions de politique, contrôles de filiales, conventions de services et moyens propres sont datés et rapprochés des comptes pour établir une animation effective et principale.</w:t>
      </w:r>
    </w:p>
    <w:p>
      <w:pPr>
        <w:pStyle w:val="Variante"/>
      </w:pPr>
      <w:r>
        <w:t xml:space="preserve">Variante : Activité mixte</w:t>
      </w:r>
    </w:p>
    <w:p>
      <w:pPr>
        <w:pStyle w:val="Corps"/>
      </w:pPr>
      <w:r>
        <w:t xml:space="preserve">La société exerce les activités [Mixed activité tableau]. L'analyse [Principal activité analysis] établit que l'activité éligible demeure principale à la date de l'acte et pendant la période suivie. Les critères de chiffre d'affaires, d'actifs, de moyens et d'organisation sont analysés ensemble, sans déduire le caractère principal d'un seul indicateur isolé.</w:t>
      </w:r>
    </w:p>
    <w:p>
      <w:pPr>
        <w:pStyle w:val="Variante"/>
      </w:pPr>
      <w:r>
        <w:t xml:space="preserve">Variante : Activité patrimoniale non éligible</w:t>
      </w:r>
    </w:p>
    <w:p>
      <w:pPr>
        <w:pStyle w:val="Corps"/>
      </w:pPr>
      <w:r>
        <w:t xml:space="preserve">L'activité principale consiste en la gestion du propre patrimoine mobilier ou immobilier selon [Patrimonial activité justificatif]. Le présent dossier ne peut pas conclure à l'éligibilité au régime. Cette branche bloque l'affirmation d'éligibilité et impose une réorientation ou une analyse distincte avant toute transmission invoquant le régime.</w:t>
      </w:r>
    </w:p>
    <w:p>
      <w:pPr>
        <w:pStyle w:val="Intertitre"/>
      </w:pPr>
      <w:r>
        <w:t xml:space="preserve">Continuité de l'activité</w:t>
      </w:r>
    </w:p>
    <w:p>
      <w:pPr>
        <w:pStyle w:val="Corps"/>
      </w:pPr>
      <w:r>
        <w:t xml:space="preserve">Les signataires organisent le suivi de l'activité principale depuis le point de départ applicable jusqu'au terme de l'engagement individuel en aval selon [Activité continuity justificatif]. Tout changement d'objet, d'exploitation, d'actifs, de filiales ou de fonctions de holding est signalé, daté et rapproché de l'exigence de continuité.</w:t>
      </w:r>
    </w:p>
    <w:p>
      <w:pPr>
        <w:pStyle w:val="Intertitre"/>
      </w:pPr>
      <w:r>
        <w:t xml:space="preserve"> — choisir une seule variante</w:t>
      </w:r>
    </w:p>
    <w:p>
      <w:pPr>
        <w:pStyle w:val="Variante"/>
      </w:pPr>
      <w:r>
        <w:t xml:space="preserve">Variante : Absence d'actifs exclus identifiés</w:t>
      </w:r>
    </w:p>
    <w:p>
      <w:pPr>
        <w:pStyle w:val="Corps"/>
      </w:pPr>
      <w:r>
        <w:t xml:space="preserve">L'inventaire [Exclu actif inventory] ne fait apparaître aucun actif relevant des exclusions légales dans la fraction de valeur analysée. L'inventaire couvre les biens détenus directement et, lorsque la règle l'impose, ceux des sociétés contrôlées, avec leur affectation et leur période de détention.</w:t>
      </w:r>
    </w:p>
    <w:p>
      <w:pPr>
        <w:pStyle w:val="Variante"/>
      </w:pPr>
      <w:r>
        <w:t xml:space="preserve">Variante : Actifs exclus identifiés et valorisés</w:t>
      </w:r>
    </w:p>
    <w:p>
      <w:pPr>
        <w:pStyle w:val="Corps"/>
      </w:pPr>
      <w:r>
        <w:t xml:space="preserve">Les actifs exclus sont recensés dans [Exclu actif inventory] et valorisés à [Exclu actif valeur]. Leur affectation exclusive pendant [Legal exclu actif affectation années] années avant la transmission, ou depuis leur acquisition, puis pendant la période requise, est analysée dans [Exclu actif affectation justificatif]. La fraction de valeur non éligible figure dans [Exclu valeur fraction analysis]. Les méthodes, dates et sources de valorisation sont conservées et appliquées de manière cohérente à l'actif concerné et à la société qui le détient.</w:t>
      </w:r>
    </w:p>
    <w:p>
      <w:pPr>
        <w:pStyle w:val="Variante"/>
      </w:pPr>
      <w:r>
        <w:t xml:space="preserve">Variante : Analyse des actifs exclus incomplète</w:t>
      </w:r>
    </w:p>
    <w:p>
      <w:pPr>
        <w:pStyle w:val="Corps"/>
      </w:pPr>
      <w:r>
        <w:t xml:space="preserve">L'inventaire ou la valorisation des actifs potentiellement exclus n'est pas achevé selon [Exclu actif gap justificatif]. L'éligibilité et la fraction de valeur ne peuvent pas être arrêtées. Cette branche interdit le calcul définitif de l'exonération tant que l'inventaire, l'affectation, la durée d'utilisation et la valeur ne sont pas justifiés.</w:t>
      </w:r>
    </w:p>
    <w:p>
      <w:pPr>
        <w:pStyle w:val="Intertitre"/>
      </w:pPr>
      <w:r>
        <w:t xml:space="preserve">Clause optionnelle : Actifs détenus par des sociétés contrôlées</w:t>
      </w:r>
    </w:p>
    <w:p>
      <w:pPr>
        <w:pStyle w:val="Corps"/>
      </w:pPr>
      <w:r>
        <w:t xml:space="preserve">Les actifs concernés détenus par les sociétés contrôlées recensées dans [Contrôlé actif société tableau] sont intégrés à l'analyse de la fraction de valeur selon [Contrôlé actif valeur analysis]. La chaîne de contrôle, la société détentrice, l'activité d'affectation et la fraction remontant dans la valeur des titres transmis sont documentées séparément.</w:t>
      </w:r>
    </w:p>
    <w:p>
      <w:pPr>
        <w:pStyle w:val="Intertitre"/>
      </w:pPr>
      <w:r>
        <w:t xml:space="preserve"> — choisir une seule variante</w:t>
      </w:r>
    </w:p>
    <w:p>
      <w:pPr>
        <w:pStyle w:val="Variante"/>
      </w:pPr>
      <w:r>
        <w:t xml:space="preserve">Variante : Acte sous signature privée</w:t>
      </w:r>
    </w:p>
    <w:p>
      <w:pPr>
        <w:pStyle w:val="Corps"/>
      </w:pPr>
      <w:r>
        <w:t xml:space="preserve">Le présent acte sous signature privée est signé le [Acte date] et sera enregistré le [Enregistrement date]. L'engagement sera opposable à l'administration à compter de cet enregistrement. La preuve de présentation et la date d'enregistrement sont conservées, car elles déterminent l'opposabilité et le point de départ retenu pour la durée.</w:t>
      </w:r>
    </w:p>
    <w:p>
      <w:pPr>
        <w:pStyle w:val="Variante"/>
      </w:pPr>
      <w:r>
        <w:t xml:space="preserve">Variante : Acte authentique</w:t>
      </w:r>
    </w:p>
    <w:p>
      <w:pPr>
        <w:pStyle w:val="Corps"/>
      </w:pPr>
      <w:r>
        <w:t xml:space="preserve">Le présent engagement est constaté par acte authentique le [Acte date] selon [Authentic acte référence]. Sa durée court de date à date depuis l'acte. La minute, l'identité du notaire, les annexes et la date certaine sont rapprochées du registre de titres et des signatures des parties.</w:t>
      </w:r>
    </w:p>
    <w:p>
      <w:pPr>
        <w:pStyle w:val="Variante"/>
      </w:pPr>
      <w:r>
        <w:t xml:space="preserve">Variante : Acte de constat sans engagement exprès</w:t>
      </w:r>
    </w:p>
    <w:p>
      <w:pPr>
        <w:pStyle w:val="Corps"/>
      </w:pPr>
      <w:r>
        <w:t xml:space="preserve">Le présent acte consigne les titres, durées, seuils et fonctions établis par [Deemed justificatif preuve tableau]. Il ne crée pas un engagement collectif ou unilatéral exprès et ne lui attribue aucun point de départ fictif. Les preuves sont annexées par date et source, et chaque condition réputée acquise reste contrôlée séparément lors de la transmission ultérieure.</w:t>
      </w:r>
    </w:p>
    <w:p>
      <w:pPr>
        <w:pStyle w:val="Intertitre"/>
      </w:pPr>
      <w:r>
        <w:t xml:space="preserve">Clause optionnelle : Délai de l'engagement post mortem</w:t>
      </w:r>
    </w:p>
    <w:p>
      <w:pPr>
        <w:pStyle w:val="Corps"/>
      </w:pPr>
      <w:r>
        <w:t xml:space="preserve">Le décès est intervenu le [Décès date] et l'engagement est signé le [Post mortem signature date]. Le contrôle [Post mortem deadline justificatif] vérifie sa conclusion dans les [Legal post mortem months] mois suivant la transmission par décès. Le calcul du délai est consigné avec les actes de décès, de notoriété et de signature; une signature hors délai bloque cette route.</w:t>
      </w:r>
    </w:p>
    <w:p>
      <w:pPr>
        <w:pStyle w:val="Intertitre"/>
      </w:pPr>
      <w:r>
        <w:t xml:space="preserve">Clause optionnelle : Détention antérieure pour l'engagement réputé acquis</w:t>
      </w:r>
    </w:p>
    <w:p>
      <w:pPr>
        <w:pStyle w:val="Corps"/>
      </w:pPr>
      <w:r>
        <w:t xml:space="preserve">La détention directe ou indirecte décrite dans [Deemed détention tableau] a commencé le [Détention début date] et atteint les seuils pendant au moins [Legal deemed détention années] années avant la transmission envisagée le [Envisagé transmission date]. Les mouvements, démembrements et interpositions survenus pendant la période antérieure sont retracés afin de démontrer un respect continu des seuils.</w:t>
      </w:r>
    </w:p>
    <w:p>
      <w:pPr>
        <w:pStyle w:val="Intertitre"/>
      </w:pPr>
      <w:r>
        <w:t xml:space="preserve">Clause optionnelle : Fonction antérieure pour l'engagement réputé acquis</w:t>
      </w:r>
    </w:p>
    <w:p>
      <w:pPr>
        <w:pStyle w:val="Corps"/>
      </w:pPr>
      <w:r>
        <w:t xml:space="preserve">[Deemed manager nom] exerce depuis le [Direction début date] la fonction ou l'activité [Deemed direction capacity]. Le contrôle [Deemed direction justificatif] vérifie une durée d'au moins [Legal deemed détention années] années avant la transmission. La fonction est rapprochée des nominations, rémunérations, pouvoirs et actes de gestion; une simple qualité statutaire sans exercice effectif ne suffit pas.</w:t>
      </w:r>
    </w:p>
    <w:p>
      <w:pPr>
        <w:pStyle w:val="Intertitre"/>
      </w:pPr>
      <w:r>
        <w:t xml:space="preserve">Clause optionnelle : Effet du constat</w:t>
      </w:r>
    </w:p>
    <w:p>
      <w:pPr>
        <w:pStyle w:val="Corps"/>
      </w:pPr>
      <w:r>
        <w:t xml:space="preserve">La réunion des conditions antérieures est constatée à partir de [Deemed condition matrix]. Aucun engagement collectif exprès de conservation n'est créé par le présent acte; les obligations applicables à la transmission et l'engagement individuel ultérieur demeurent distincts. Le constat ne dispense ni de l'engagement individuel de six ans, ni de la condition de direction, ni des attestations et obligations déclaratives ultérieures.</w:t>
      </w:r>
    </w:p>
    <w:p>
      <w:pPr>
        <w:pStyle w:val="Intertitre"/>
      </w:pPr>
      <w:r>
        <w:t xml:space="preserve">Titres soumis à l'engagement</w:t>
      </w:r>
    </w:p>
    <w:p>
      <w:pPr>
        <w:pStyle w:val="Corps"/>
      </w:pPr>
      <w:r>
        <w:t xml:space="preserve">Les [Engagé titre count] titres soumis à l'engagement, leur propriétaire, leur catégorie, leur origine et leurs droits sont recensés dans [Engagé titre tableau]. Le capital comprend [Société total titre count] titres selon [Société titre register référence]. Chaque ligne du tableau est rapprochée du compte individuel, du registre des mouvements et des droits attachés à la catégorie à la date de signature.</w:t>
      </w:r>
    </w:p>
    <w:p>
      <w:pPr>
        <w:pStyle w:val="Intertitre"/>
      </w:pPr>
      <w:r>
        <w:t xml:space="preserve"> — choisir une seule variante</w:t>
      </w:r>
    </w:p>
    <w:p>
      <w:pPr>
        <w:pStyle w:val="Variante"/>
      </w:pPr>
      <w:r>
        <w:t xml:space="preserve">Variante : Seuils d'une société cotée</w:t>
      </w:r>
    </w:p>
    <w:p>
      <w:pPr>
        <w:pStyle w:val="Corps"/>
      </w:pPr>
      <w:r>
        <w:t xml:space="preserve">Les titres engagés représentent [Engagé financier droits pourcentage] des droits financiers et [Engagé vote droits pourcentage] des droits de vote. Ils sont rapprochés des seuils officiels de [Legal listed financier seuil] et [Legal listed vote seuil] dans [Seuil calculation justificatif]. Le numérateur et le dénominateur sont calculés séparément pour les droits financiers et de vote, sans compenser l'insuffisance de l'un par l'autre.</w:t>
      </w:r>
    </w:p>
    <w:p>
      <w:pPr>
        <w:pStyle w:val="Variante"/>
      </w:pPr>
      <w:r>
        <w:t xml:space="preserve">Variante : Seuils d'une société non cotée</w:t>
      </w:r>
    </w:p>
    <w:p>
      <w:pPr>
        <w:pStyle w:val="Corps"/>
      </w:pPr>
      <w:r>
        <w:t xml:space="preserve">Les titres engagés représentent [Engagé financier droits pourcentage] des droits financiers et [Engagé vote droits pourcentage] des droits de vote. Ils sont rapprochés des seuils officiels de [Legal unlisted financier seuil] et [Legal unlisted vote seuil] dans [Seuil calculation justificatif]. Les seuils sont vérifiés lors de la signature, après chaque mouvement et jusqu'au terme, à partir d'un capital et de droits effectivement à jour.</w:t>
      </w:r>
    </w:p>
    <w:p>
      <w:pPr>
        <w:pStyle w:val="Intertitre"/>
      </w:pPr>
      <w:r>
        <w:t xml:space="preserve">Droits par catégorie de titres</w:t>
      </w:r>
    </w:p>
    <w:p>
      <w:pPr>
        <w:pStyle w:val="Corps"/>
      </w:pPr>
      <w:r>
        <w:t xml:space="preserve">Le calcul par catégorie, les droits doubles, les titres privés de vote et les démembrements sont détaillés dans [Titre catégorie droits matrix] sans assimiler capital, droits financiers et droits de vote. Les droits temporaires, suspendus, doubles ou démembrés sont traités selon leur régime propre et la date à laquelle ils existent juridiquement.</w:t>
      </w:r>
    </w:p>
    <w:p>
      <w:pPr>
        <w:pStyle w:val="Intertitre"/>
      </w:pPr>
      <w:r>
        <w:t xml:space="preserve">Maintien continu des seuils</w:t>
      </w:r>
    </w:p>
    <w:p>
      <w:pPr>
        <w:pStyle w:val="Corps"/>
      </w:pPr>
      <w:r>
        <w:t xml:space="preserve">Le tableau [Seuil continuity tableau] permettra de contrôler le nombre de titres et les pourcentages pendant toute la durée de l'engagement. Le tableau est mis à jour après cession, donation, émission, annulation, conversion ou modification des droits et signale immédiatement toute insuffisance.</w:t>
      </w:r>
    </w:p>
    <w:p>
      <w:pPr>
        <w:pStyle w:val="Intertitre"/>
      </w:pPr>
      <w:r>
        <w:t xml:space="preserve"> — choisir une seule variante</w:t>
      </w:r>
    </w:p>
    <w:p>
      <w:pPr>
        <w:pStyle w:val="Variante"/>
      </w:pPr>
      <w:r>
        <w:t xml:space="preserve">Variante : Détention directe</w:t>
      </w:r>
    </w:p>
    <w:p>
      <w:pPr>
        <w:pStyle w:val="Corps"/>
      </w:pPr>
      <w:r>
        <w:t xml:space="preserve">Les signataires détiennent directement les titres de la société cible selon [Direct détention tableau]. L'absence d'interposition est rapprochée des comptes de titres, des actes d'acquisition et des éventuels démembrements de chaque signataire.</w:t>
      </w:r>
    </w:p>
    <w:p>
      <w:pPr>
        <w:pStyle w:val="Variante"/>
      </w:pPr>
      <w:r>
        <w:t xml:space="preserve">Variante : Un niveau d'interposition</w:t>
      </w:r>
    </w:p>
    <w:p>
      <w:pPr>
        <w:pStyle w:val="Corps"/>
      </w:pPr>
      <w:r>
        <w:t xml:space="preserve">La société interposée [First interposée société nom] détient la participation décrite dans [First interposée participation tableau]. Les titres détenus par le bénéficiaire et la valeur éligible sont rapprochés dans [One niveau valeur fraction analysis]. La société interposée et ses associés conservent les participations requises; la fraction de valeur est recalculée à chaque modification de la chaîne.</w:t>
      </w:r>
    </w:p>
    <w:p>
      <w:pPr>
        <w:pStyle w:val="Variante"/>
      </w:pPr>
      <w:r>
        <w:t xml:space="preserve">Variante : Deux niveaux d'interposition</w:t>
      </w:r>
    </w:p>
    <w:p>
      <w:pPr>
        <w:pStyle w:val="Corps"/>
      </w:pPr>
      <w:r>
        <w:t xml:space="preserve">La chaîne comprend [First interposée société nom] et [Second interposée société nom] selon [Interposée chaîne tableau]. Les participations et fractions de valeur à chaque niveau sont calculées dans [Two niveau valeur fraction analysis]. Chaque niveau dispose d'un tableau de titres et d'une attestation propre, permettant de suivre sans confusion les obligations de conservation successives.</w:t>
      </w:r>
    </w:p>
    <w:p>
      <w:pPr>
        <w:pStyle w:val="Intertitre"/>
      </w:pPr>
      <w:r>
        <w:t xml:space="preserve">Clause optionnelle : Conservation inchangée dans la chaîne</w:t>
      </w:r>
    </w:p>
    <w:p>
      <w:pPr>
        <w:pStyle w:val="Corps"/>
      </w:pPr>
      <w:r>
        <w:t xml:space="preserve">Chaque société interposée et chaque associé soumis aux obligations conserve les participations identifiées pendant les périodes applicables, sous réserve des seules opérations admises, selon [Interposée conservation tableau]. Une opération à un niveau de la chaîne est analysée avant exécution et reportée dans tous les tableaux et attestations qu'elle affecte.</w:t>
      </w:r>
    </w:p>
    <w:p>
      <w:pPr>
        <w:pStyle w:val="Intertitre"/>
      </w:pPr>
      <w:r>
        <w:t xml:space="preserve">Clause optionnelle : Fraction de valeur éligible</w:t>
      </w:r>
    </w:p>
    <w:p>
      <w:pPr>
        <w:pStyle w:val="Corps"/>
      </w:pPr>
      <w:r>
        <w:t xml:space="preserve">La valeur éligible est calculée à partir de [Société brut actif valeur], de [Éligible participation valeur] et de la chaîne vérifiée. La fraction résultante de [Éligible valeur fraction pourcentage] figure dans [Éligible valeur fraction analysis]. Le calcul indique les valeurs brutes, pourcentages de participation, dates d'évaluation et arrondis retenus, sans appliquer la fraction à un actif non justifié.</w:t>
      </w:r>
    </w:p>
    <w:p>
      <w:pPr>
        <w:pStyle w:val="Intertitre"/>
      </w:pPr>
      <w:r>
        <w:t xml:space="preserve">Clause optionnelle : Engagement ferme de conservation</w:t>
      </w:r>
    </w:p>
    <w:p>
      <w:pPr>
        <w:pStyle w:val="Corps"/>
      </w:pPr>
      <w:r>
        <w:t xml:space="preserve">Chaque signataire s'engage, pour lui et ses ayants cause à titre gratuit, à conserver les titres recensés dans [Engagé titre tableau] pendant la durée légale applicable et à respecter les seuils continus. La conservation interdit les transferts incompatibles mais n'emporte ni indivision forcée, ni garantie d'exonération, ni restriction au-delà du périmètre fiscal défini.</w:t>
      </w:r>
    </w:p>
    <w:p>
      <w:pPr>
        <w:pStyle w:val="Intertitre"/>
      </w:pPr>
      <w:r>
        <w:t xml:space="preserve">Clause optionnelle : Durée et point de départ</w:t>
      </w:r>
    </w:p>
    <w:p>
      <w:pPr>
        <w:pStyle w:val="Corps"/>
      </w:pPr>
      <w:r>
        <w:t xml:space="preserve">La durée minimale est de [Legal collective min années] années. Le point de départ et le terme sont établis dans [Collective term justificatif] selon la nature de l'acte et la date qui le rend opposable. Le calendrier identifie séparément la signature, l'enregistrement, le terme minimal et les effets d'une reconduction liée à l'entrée d'un nouveau signataire.</w:t>
      </w:r>
    </w:p>
    <w:p>
      <w:pPr>
        <w:pStyle w:val="Intertitre"/>
      </w:pPr>
      <w:r>
        <w:t xml:space="preserve">Clause optionnelle : Ayants cause à titre gratuit</w:t>
      </w:r>
    </w:p>
    <w:p>
      <w:pPr>
        <w:pStyle w:val="Corps"/>
      </w:pPr>
      <w:r>
        <w:t xml:space="preserve">L'engagement est souscrit pour le signataire et ses ayants cause à titre gratuit. Toute transmission concernée est inscrite dans [Gratuitous successor justificatif] avec le nombre de titres restant soumis. L'acte de transmission mentionne l'engagement existant, les titres concernés et le reliquat de durée, puis alimente le registre de suivi.</w:t>
      </w:r>
    </w:p>
    <w:p>
      <w:pPr>
        <w:pStyle w:val="Intertitre"/>
      </w:pPr>
      <w:r>
        <w:t xml:space="preserve">Clause optionnelle : Transferts entre signataires</w:t>
      </w:r>
    </w:p>
    <w:p>
      <w:pPr>
        <w:pStyle w:val="Corps"/>
      </w:pPr>
      <w:r>
        <w:t xml:space="preserve">Les cessions ou donations entre signataires avant la transmission sont autorisées uniquement après contrôle des seuils et mise à jour de [Inter signataire transfer register]. Le transfert est inscrit chez le cédant et le cessionnaire à la même date et ne doit jamais réduire les seuils collectifs requis.</w:t>
      </w:r>
    </w:p>
    <w:p>
      <w:pPr>
        <w:pStyle w:val="Intertitre"/>
      </w:pPr>
      <w:r>
        <w:t xml:space="preserve">Clause optionnelle : Admission d'un nouveau signataire</w:t>
      </w:r>
    </w:p>
    <w:p>
      <w:pPr>
        <w:pStyle w:val="Corps"/>
      </w:pPr>
      <w:r>
        <w:t xml:space="preserve">L'admission de [New signataire identité] au titre de [New signataire titre tableau] entraîne la reconduction de l'engagement pour au moins [Legal collective min années] années. La nouvelle période figure dans [Renewed term justificatif]. L'adhésion est écrite, enregistrée lorsque nécessaire et signée par les personnes habilitées; les autres signataires sont informés du nouveau terme.</w:t>
      </w:r>
    </w:p>
    <w:p>
      <w:pPr>
        <w:pStyle w:val="Intertitre"/>
      </w:pPr>
      <w:r>
        <w:t xml:space="preserve">Clause optionnelle : Transfert hors engagement</w:t>
      </w:r>
    </w:p>
    <w:p>
      <w:pPr>
        <w:pStyle w:val="Corps"/>
      </w:pPr>
      <w:r>
        <w:t xml:space="preserve">Aucun transfert hors des opérations admises ne peut être réalisé sans analyse préalable consignée dans [Proposed transfer compliance justificatif] et mise à jour des seuils. L'analyse distingue la situation de l'auteur du transfert, celle des autres signataires et les titres restant engagés avant toute conclusion sur une remise en cause.</w:t>
      </w:r>
    </w:p>
    <w:p>
      <w:pPr>
        <w:pStyle w:val="Intertitre"/>
      </w:pPr>
      <w:r>
        <w:t xml:space="preserve">Clause optionnelle : Registre de suivi</w:t>
      </w:r>
    </w:p>
    <w:p>
      <w:pPr>
        <w:pStyle w:val="Corps"/>
      </w:pPr>
      <w:r>
        <w:t xml:space="preserve">La société tient [Dutreil titre register] retraçant signataires, titres engagés, transferts, transmissions, seuils et dates pendant toute la période suivie. Chaque écriture comporte la pièce source, la date, le nombre de titres, les droits, l'auteur du mouvement et son incidence sur les seuils.</w:t>
      </w:r>
    </w:p>
    <w:p>
      <w:pPr>
        <w:pStyle w:val="Intertitre"/>
      </w:pPr>
      <w:r>
        <w:t xml:space="preserve"> — choisir une seule variante</w:t>
      </w:r>
    </w:p>
    <w:p>
      <w:pPr>
        <w:pStyle w:val="Variante"/>
      </w:pPr>
      <w:r>
        <w:t xml:space="preserve">Variante : Fonction de direction dans une société soumise à l'IS</w:t>
      </w:r>
    </w:p>
    <w:p>
      <w:pPr>
        <w:pStyle w:val="Corps"/>
      </w:pPr>
      <w:r>
        <w:t xml:space="preserve">[Éligible manager nom], signataire ou bénéficiaire selon le stade, exerce effectivement la fonction [Éligible direction function] dont l'éligibilité est établie par [Direction function preuve]. La fonction est choisie dans la liste officielle applicable, exercée effectivement et prouvée par les décisions, pouvoirs et actes accomplis pendant la période.</w:t>
      </w:r>
    </w:p>
    <w:p>
      <w:pPr>
        <w:pStyle w:val="Variante"/>
      </w:pPr>
      <w:r>
        <w:t xml:space="preserve">Variante : Activité professionnelle principale</w:t>
      </w:r>
    </w:p>
    <w:p>
      <w:pPr>
        <w:pStyle w:val="Corps"/>
      </w:pPr>
      <w:r>
        <w:t xml:space="preserve">[Éligible manager nom], signataire ou bénéficiaire selon le stade, exerce dans la société son activité professionnelle principale [Principal professional activité] selon [Professional activité preuve]. L'activité doit constituer l'activité professionnelle principale de la personne concernée et être établie par des éléments cohérents de temps, revenus et responsabilités.</w:t>
      </w:r>
    </w:p>
    <w:p>
      <w:pPr>
        <w:pStyle w:val="Intertitre"/>
      </w:pPr>
      <w:r>
        <w:t xml:space="preserve">Durée de la fonction</w:t>
      </w:r>
    </w:p>
    <w:p>
      <w:pPr>
        <w:pStyle w:val="Corps"/>
      </w:pPr>
      <w:r>
        <w:t xml:space="preserve">La fonction ou activité est exercée pendant l'engagement collectif et pendant les [Legal direction after transmission années] années suivant la transmission. Le suivi figure dans [Direction continuity tableau]. Les dates de début, suspension, remplacement et fin sont suivies sans interruption non traitée, depuis la période collective jusqu'au terme requis après transmission.</w:t>
      </w:r>
    </w:p>
    <w:p>
      <w:pPr>
        <w:pStyle w:val="Intertitre"/>
      </w:pPr>
      <w:r>
        <w:t xml:space="preserve">Changement de dirigeant ou d'exploitant</w:t>
      </w:r>
    </w:p>
    <w:p>
      <w:pPr>
        <w:pStyle w:val="Corps"/>
      </w:pPr>
      <w:r>
        <w:t xml:space="preserve">Tout changement de la personne remplissant la condition est précédé d'un contrôle de continuité et consigné dans [Direction successor justificatif]. Le successeur doit remplir la condition admissible au plus tard à la date nécessaire; sa nomination et son exercice effectif sont prouvés séparément.</w:t>
      </w:r>
    </w:p>
    <w:p>
      <w:pPr>
        <w:pStyle w:val="Intertitre"/>
      </w:pPr>
      <w:r>
        <w:t xml:space="preserve"> — choisir une seule variante</w:t>
      </w:r>
    </w:p>
    <w:p>
      <w:pPr>
        <w:pStyle w:val="Variante"/>
      </w:pPr>
      <w:r>
        <w:t xml:space="preserve">Variante : Aucune transmission datée</w:t>
      </w:r>
    </w:p>
    <w:p>
      <w:pPr>
        <w:pStyle w:val="Corps"/>
      </w:pPr>
      <w:r>
        <w:t xml:space="preserve">Le présent engagement n'emporte ni donation ni déclaration de succession. Aucune transmission n'est datée dans cet acte. L'acte reste un engagement préparatoire et n'intègre aucune valeur transmise, aucun bénéficiaire définitif ni engagement individuel déjà souscrit.</w:t>
      </w:r>
    </w:p>
    <w:p>
      <w:pPr>
        <w:pStyle w:val="Variante"/>
      </w:pPr>
      <w:r>
        <w:t xml:space="preserve">Variante : Donation envisagée</w:t>
      </w:r>
    </w:p>
    <w:p>
      <w:pPr>
        <w:pStyle w:val="Corps"/>
      </w:pPr>
      <w:r>
        <w:t xml:space="preserve">Une donation est envisagée le [Envisagé transmission date] selon [Envisagé gift justificatif]. L'acte de donation, les engagements individuels et les attestations seront établis séparément. Les donateurs, donataires, titres, valeurs, démembrements et charges ne sont repris dans le futur acte qu'après vérification et instruction propres à la donation.</w:t>
      </w:r>
    </w:p>
    <w:p>
      <w:pPr>
        <w:pStyle w:val="Variante"/>
      </w:pPr>
      <w:r>
        <w:t xml:space="preserve">Variante : Transmission par décès</w:t>
      </w:r>
    </w:p>
    <w:p>
      <w:pPr>
        <w:pStyle w:val="Corps"/>
      </w:pPr>
      <w:r>
        <w:t xml:space="preserve">La transmission par décès est décrite dans [Succession transmission justificatif]. La déclaration de succession et les engagements individuels demeurent des actes distincts. Les héritiers, valeurs et options successorales ne sont pas présumés; ils seront établis par les actes et déclarations propres au règlement de la succession.</w:t>
      </w:r>
    </w:p>
    <w:p>
      <w:pPr>
        <w:pStyle w:val="Variante"/>
      </w:pPr>
      <w:r>
        <w:t xml:space="preserve">Variante : Transmission à un fonds de pérennité</w:t>
      </w:r>
    </w:p>
    <w:p>
      <w:pPr>
        <w:pStyle w:val="Corps"/>
      </w:pPr>
      <w:r>
        <w:t xml:space="preserve">La transmission en pleine propriété à [Perpetuity fund nom] est envisagée selon [Perpetuity fund transfer justificatif]. Son éligibilité et ses formalités seront contrôlées dans l'acte distinct de transmission. Le fonds, la pleine propriété, l'activité conservée et les obligations propres à cette route sont vérifiés avant de rédiger l'acte de transmission.</w:t>
      </w:r>
    </w:p>
    <w:p>
      <w:pPr>
        <w:pStyle w:val="Intertitre"/>
      </w:pPr>
      <w:r>
        <w:t xml:space="preserve"> — choisir une seule variante</w:t>
      </w:r>
    </w:p>
    <w:p>
      <w:pPr>
        <w:pStyle w:val="Variante"/>
      </w:pPr>
      <w:r>
        <w:t xml:space="preserve">Variante : Absence de réserve d'usufruit</w:t>
      </w:r>
    </w:p>
    <w:p>
      <w:pPr>
        <w:pStyle w:val="Corps"/>
      </w:pPr>
      <w:r>
        <w:t xml:space="preserve">Aucune réserve d'usufruit n'est constatée ou envisagée dans le dossier décrit par le présent acte. Les droits sont alors analysés en pleine propriété, sous réserve des démembrements antérieurs ou titres particuliers qui resteraient mentionnés au registre.</w:t>
      </w:r>
    </w:p>
    <w:p>
      <w:pPr>
        <w:pStyle w:val="Variante"/>
      </w:pPr>
      <w:r>
        <w:t xml:space="preserve">Variante : Donation avec réserve d'usufruit</w:t>
      </w:r>
    </w:p>
    <w:p>
      <w:pPr>
        <w:pStyle w:val="Corps"/>
      </w:pPr>
      <w:r>
        <w:t xml:space="preserve">La donation envisagée comporte une réserve d'usufruit. Les statuts limitent les droits de vote de l'usufruitier aux décisions concernant l'affectation des bénéfices selon [Usufruct voting limitation justificatif]. La limitation statutaire est vérifiée avant l'acte et demeure applicable pendant la réserve; toute modification des statuts est contrôlée avant son adoption.</w:t>
      </w:r>
    </w:p>
    <w:p>
      <w:pPr>
        <w:pStyle w:val="Variante"/>
      </w:pPr>
      <w:r>
        <w:t xml:space="preserve">Variante : Limitation des droits de l'usufruitier non vérifiée</w:t>
      </w:r>
    </w:p>
    <w:p>
      <w:pPr>
        <w:pStyle w:val="Corps"/>
      </w:pPr>
      <w:r>
        <w:t xml:space="preserve">La réserve d'usufruit est envisagée mais la limitation statutaire des droits de vote n'est pas établie selon [Usufruct compliance gap justificatif]. Cette branche bloque la présentation de la donation comme conforme tant que la clause statutaire, son opposabilité et la répartition des votes ne sont pas établies.</w:t>
      </w:r>
    </w:p>
    <w:p>
      <w:pPr>
        <w:pStyle w:val="Intertitre"/>
      </w:pPr>
      <w:r>
        <w:t xml:space="preserve">Clause optionnelle : Engagement individuel ultérieur</w:t>
      </w:r>
    </w:p>
    <w:p>
      <w:pPr>
        <w:pStyle w:val="Corps"/>
      </w:pPr>
      <w:r>
        <w:t xml:space="preserve">Le présent acte ne remplace pas l'engagement individuel que chaque héritier, donataire ou légataire devra prendre pour [Legal individual années] années à compter du terme de l'engagement collectif ou du point de départ légal propre à l'engagement réputé acquis. Le futur bénéficiaire devra signer dans l'acte de transmission ou la déclaration applicable, pour les seuls titres transmis et la durée officielle résolue.</w:t>
      </w:r>
    </w:p>
    <w:p>
      <w:pPr>
        <w:pStyle w:val="Intertitre"/>
      </w:pPr>
      <w:r>
        <w:t xml:space="preserve">Compte PME innovation</w:t>
      </w:r>
    </w:p>
    <w:p>
      <w:pPr>
        <w:pStyle w:val="Corps"/>
      </w:pPr>
      <w:r>
        <w:t xml:space="preserve">Les titres ne sont pas inscrits sur un compte PME innovation selon [Pme innovation account preuve] et resteront suivis hors d'un tel compte pendant la période requise. Le contrôle est renouvelé lors de la transmission et pendant les engagements, à partir des comptes de titres et attestations des teneurs concernés.</w:t>
      </w:r>
    </w:p>
    <w:p>
      <w:pPr>
        <w:pStyle w:val="Intertitre"/>
      </w:pPr>
      <w:r>
        <w:t xml:space="preserve"> — choisir une seule variante</w:t>
      </w:r>
    </w:p>
    <w:p>
      <w:pPr>
        <w:pStyle w:val="Variante"/>
      </w:pPr>
      <w:r>
        <w:t xml:space="preserve">Variante : Aucune restructuration prévue</w:t>
      </w:r>
    </w:p>
    <w:p>
      <w:pPr>
        <w:pStyle w:val="Corps"/>
      </w:pPr>
      <w:r>
        <w:t xml:space="preserve">Aucune opération d'apport, fusion, scission, augmentation de capital, offre publique d'échange ou annulation de titres n'est annoncée à la date de l'acte. L'absence de projet est confirmée par les dirigeants et le conseil du dossier; toute opération nouvelle déclenche une analyse avant décision ou signature.</w:t>
      </w:r>
    </w:p>
    <w:p>
      <w:pPr>
        <w:pStyle w:val="Variante"/>
      </w:pPr>
      <w:r>
        <w:t xml:space="preserve">Variante : Apport de titres</w:t>
      </w:r>
    </w:p>
    <w:p>
      <w:pPr>
        <w:pStyle w:val="Corps"/>
      </w:pPr>
      <w:r>
        <w:t xml:space="preserve">L'apport envisagé est décrit dans [Contribution transaction justificatif]. La valeur réelle de l'actif brut de la société bénéficiaire est rapprochée du seuil de [Legal contribution actif seuil], et la détention du capital et des droits de vote du seuil de [Legal contribution détention seuil], selon [Contribution compliance matrix]. Les engagements de conservation et la direction sont documentés séparément. Les conditions sont suivies à la date de l'apport et jusqu'au terme, avec registre des titres reçus, direction, actifs et participations de la bénéficiaire.</w:t>
      </w:r>
    </w:p>
    <w:p>
      <w:pPr>
        <w:pStyle w:val="Variante"/>
      </w:pPr>
      <w:r>
        <w:t xml:space="preserve">Variante : Fusion, scission, augmentation de capital ou offre publique d'échange</w:t>
      </w:r>
    </w:p>
    <w:p>
      <w:pPr>
        <w:pStyle w:val="Corps"/>
      </w:pPr>
      <w:r>
        <w:t xml:space="preserve">L'opération [Reorganization type] est décrite dans [Reorganization justificatif]. Les titres reçus, la continuité de conservation et le calendrier sont contrôlés dans [Reorganization continuity matrix]. Le tableau rapproche titres remis et reçus, dates, parités et droits afin de démontrer la continuité sans élargir l'exception à une opération différente.</w:t>
      </w:r>
    </w:p>
    <w:p>
      <w:pPr>
        <w:pStyle w:val="Variante"/>
      </w:pPr>
      <w:r>
        <w:t xml:space="preserve">Variante : Annulation de titres pour pertes ou liquidation judiciaire</w:t>
      </w:r>
    </w:p>
    <w:p>
      <w:pPr>
        <w:pStyle w:val="Corps"/>
      </w:pPr>
      <w:r>
        <w:t xml:space="preserve">L'annulation ou la liquidation est établie par [Cancellation or liquidation preuve]. Son incidence sur les seuils et les obligations est consignée dans [Cancellation consequence justificatif]. La cause, la décision, la date et le nombre de titres annulés sont prouvés et distingués d'une cession volontaire ou d'une réduction de capital ordinaire.</w:t>
      </w:r>
    </w:p>
    <w:p>
      <w:pPr>
        <w:pStyle w:val="Variante"/>
      </w:pPr>
      <w:r>
        <w:t xml:space="preserve">Variante : Donation ultérieure à un descendant</w:t>
      </w:r>
    </w:p>
    <w:p>
      <w:pPr>
        <w:pStyle w:val="Corps"/>
      </w:pPr>
      <w:r>
        <w:t xml:space="preserve">La donation à [Descendant donee identité] est décrite dans [Descendant gift justificatif]. La poursuite de l'engagement jusqu'à son terme et la copie de l'acte seront contrôlées séparément. Le descendant est identifié, accepte la poursuite requise et reçoit le nombre exact de titres encore soumis, sans raccourcissement du terme initial.</w:t>
      </w:r>
    </w:p>
    <w:p>
      <w:pPr>
        <w:pStyle w:val="Intertitre"/>
      </w:pPr>
      <w:r>
        <w:t xml:space="preserve">Attestation au jour de la transmission</w:t>
      </w:r>
    </w:p>
    <w:p>
      <w:pPr>
        <w:pStyle w:val="Corps"/>
      </w:pPr>
      <w:r>
        <w:t xml:space="preserve">La société préparera l'attestation certifiant le respect des conditions de l'engagement jusqu'au jour de la transmission selon [Transmission attestation justificatif]. L'attestation est datée, signée par une personne habilitée et rapprochée du registre, des seuils, de l'activité et des événements intervenus.</w:t>
      </w:r>
    </w:p>
    <w:p>
      <w:pPr>
        <w:pStyle w:val="Intertitre"/>
      </w:pPr>
      <w:r>
        <w:t xml:space="preserve">Attestation sur demande</w:t>
      </w:r>
    </w:p>
    <w:p>
      <w:pPr>
        <w:pStyle w:val="Corps"/>
      </w:pPr>
      <w:r>
        <w:t xml:space="preserve">Sur demande du bénéficiaire, la société transmet l'attestation requise dans les [Legal société attestation days] jours. Le bénéficiaire répond à une demande de l'administration dans les [Legal attestation months] mois selon [Requested attestation tableau]. Chaque demande et réponse est horodatée; la société fournit uniquement les faits qu'elle peut certifier et le bénéficiaire conserve la preuve de transmission.</w:t>
      </w:r>
    </w:p>
    <w:p>
      <w:pPr>
        <w:pStyle w:val="Intertitre"/>
      </w:pPr>
      <w:r>
        <w:t xml:space="preserve">Attestation au terme</w:t>
      </w:r>
    </w:p>
    <w:p>
      <w:pPr>
        <w:pStyle w:val="Corps"/>
      </w:pPr>
      <w:r>
        <w:t xml:space="preserve">Dans les [Legal attestation months] mois suivant le terme de l'engagement individuel, l'attestation finale sera adressée selon [Final attestation tableau]. Le dossier contrôle le respect de l'engagement individuel, la direction, l'activité et la chaîne jusqu'à la date finale avant l'envoi.</w:t>
      </w:r>
    </w:p>
    <w:p>
      <w:pPr>
        <w:pStyle w:val="Intertitre"/>
      </w:pPr>
      <w:r>
        <w:t xml:space="preserve">Clause optionnelle : Attestations de la chaîne d'interposition</w:t>
      </w:r>
    </w:p>
    <w:p>
      <w:pPr>
        <w:pStyle w:val="Corps"/>
      </w:pPr>
      <w:r>
        <w:t xml:space="preserve">Chaque société de la chaîne fournit les attestations relatives aux titres, participations et périodes de conservation selon [Interposée attestation tableau]. Les attestations s'enchaînent du niveau cible au bénéficiaire et portent sur les mêmes dates, participations et mouvements que les registres correspondants.</w:t>
      </w:r>
    </w:p>
    <w:p>
      <w:pPr>
        <w:pStyle w:val="Intertitre"/>
      </w:pPr>
      <w:r>
        <w:t xml:space="preserve">Dossier de preuve</w:t>
      </w:r>
    </w:p>
    <w:p>
      <w:pPr>
        <w:pStyle w:val="Corps"/>
      </w:pPr>
      <w:r>
        <w:t xml:space="preserve">Le dossier [Dutreil preuve file référence] conserve versions des statuts, registres, comptes, attestations, fonctions, calculs de seuils, analyses d'activité et preuves d'enregistrement. Chaque pièce est indexée par condition, période, auteur et version; une pièce remplacée reste conservée pour expliquer l'historique du contrôle.</w:t>
      </w:r>
    </w:p>
    <w:p>
      <w:pPr>
        <w:pStyle w:val="Intertitre"/>
      </w:pPr>
      <w:r>
        <w:t xml:space="preserve">Clause optionnelle : Information relative aux titres cotés</w:t>
      </w:r>
    </w:p>
    <w:p>
      <w:pPr>
        <w:pStyle w:val="Corps"/>
      </w:pPr>
      <w:r>
        <w:t xml:space="preserve">La formalité prévue pour l'engagement portant sur des titres cotés est préparée selon [Listed marché information justificatif]. La société prépare la déclaration ou information avec les titres, signataires, pourcentages et durée exacts, puis conserve la preuve de son accomplissement.</w:t>
      </w:r>
    </w:p>
    <w:p>
      <w:pPr>
        <w:pStyle w:val="Intertitre"/>
      </w:pPr>
      <w:r>
        <w:t xml:space="preserve">Clause optionnelle : Enregistrement et opposabilité</w:t>
      </w:r>
    </w:p>
    <w:p>
      <w:pPr>
        <w:pStyle w:val="Corps"/>
      </w:pPr>
      <w:r>
        <w:t xml:space="preserve">L'acte et ses annexes sont présentés à l'enregistrement selon [Enregistrement filing justificatif]. La preuve d'enregistrement est conservée sous [Enregistrement preuve référence]. Le dépôt porte sur la version signée et ses annexes; tout rejet, demande ou régularisation est consigné avec sa date et sa réponse.</w:t>
      </w:r>
    </w:p>
    <w:p>
      <w:pPr>
        <w:pStyle w:val="Intertitre"/>
      </w:pPr>
      <w:r>
        <w:t xml:space="preserve">Clause optionnelle : Avenants et adhésions</w:t>
      </w:r>
    </w:p>
    <w:p>
      <w:pPr>
        <w:pStyle w:val="Corps"/>
      </w:pPr>
      <w:r>
        <w:t xml:space="preserve">Tout avenant, transfert, adhésion ou modification des titres engagés est constaté par écrit, rapproché des seuils et conservé dans [Amendment register]. L'écrit précise son effet prospectif, les signataires et titres concernés, puis déclenche les mises à jour du registre, des seuils et du calendrier.</w:t>
      </w:r>
    </w:p>
    <w:p>
      <w:pPr>
        <w:pStyle w:val="Intertitre"/>
      </w:pPr>
      <w:r>
        <w:t xml:space="preserve">Clause optionnelle : Défaillance d'un signataire</w:t>
      </w:r>
    </w:p>
    <w:p>
      <w:pPr>
        <w:pStyle w:val="Corps"/>
      </w:pPr>
      <w:r>
        <w:t xml:space="preserve">Toute défaillance est notifiée selon [Breach information process]. Les signataires restant engagés, s'il en existe, vérifient sans délai si leurs titres respectent encore les seuils ou si un cessionnaire peut adhérer avec reconduction de l'engagement. Le dossier sépare les conséquences pour le signataire défaillant, les autres signataires et les bénéficiaires ayant déjà transmis, sans remise en cause globale automatique.</w:t>
      </w:r>
    </w:p>
    <w:p>
      <w:pPr>
        <w:pStyle w:val="Intertitre"/>
      </w:pPr>
      <w:r>
        <w:t xml:space="preserve">Transfert partiel après transmission</w:t>
      </w:r>
    </w:p>
    <w:p>
      <w:pPr>
        <w:pStyle w:val="Corps"/>
      </w:pPr>
      <w:r>
        <w:t xml:space="preserve">La conséquence d'une cession ou donation partielle à un autre associé de l'engagement est analysée titre par titre dans [Partial transfer consequence matrix], sans généraliser la remise en cause au-delà des titres concernés. Le tableau identifie les titres cédés, l'acquéreur, les titres conservés et la période restante, puis applique uniquement la conséquence légalement attachée à chaque lot.</w:t>
      </w:r>
    </w:p>
    <w:p>
      <w:pPr>
        <w:pStyle w:val="Intertitre"/>
      </w:pPr>
      <w:r>
        <w:t xml:space="preserve">Rupture de la condition de direction</w:t>
      </w:r>
    </w:p>
    <w:p>
      <w:pPr>
        <w:pStyle w:val="Corps"/>
      </w:pPr>
      <w:r>
        <w:t xml:space="preserve">Toute interruption de la fonction ou activité qualifiante est signalée et analysée dans [Direction breach justificatif] avant toute affirmation sur le maintien du régime. Le dossier recherche immédiatement une continuité admissible, documente les dates exactes et réserve toute conclusion fiscale jusqu'à la validation de la solution.</w:t>
      </w:r>
    </w:p>
    <w:p>
      <w:pPr>
        <w:pStyle w:val="Intertitre"/>
      </w:pPr>
      <w:r>
        <w:t xml:space="preserve">Annexes de l'acte</w:t>
      </w:r>
    </w:p>
    <w:p>
      <w:pPr>
        <w:pStyle w:val="Corps"/>
      </w:pPr>
      <w:r>
        <w:t xml:space="preserve">Sont annexés [Annex tableau], comprenant au minimum les pouvoirs, statuts, registre de titres, table des droits, calculs de seuils, analyse d'activité, chaîne d'interposition et justificatifs utiles. Chaque annexe est datée, numérotée et rattachée à la version signée; l'absence d'une pièce déterminante bloque la branche qui en dépend.</w:t>
      </w:r>
    </w:p>
    <w:p>
      <w:pPr>
        <w:pStyle w:val="Intertitre"/>
      </w:pPr>
      <w:r>
        <w:t xml:space="preserve">Clause optionnelle : Signatures</w:t>
      </w:r>
    </w:p>
    <w:p>
      <w:pPr>
        <w:pStyle w:val="Corps"/>
      </w:pPr>
      <w:r>
        <w:t xml:space="preserve">Fait à [Signature place], le [Signature date]. Les signataires identifiés dans [Signature tableau] signent selon les pouvoirs vérifiés dans [Signataire pouvoir preuve tableau]. Les exemplaires séparés ou signatures électroniques sont rattachés à un texte et des annexes identiques, puis conservés avec les pouvoirs et l'enregistrement.</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