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ENGAGEMENT INDIVIDUEL DE CONSERVATION DUTREIL</w:t>
      </w:r>
    </w:p>
    <w:p>
      <w:pPr>
        <w:pStyle w:val="Intertitre"/>
      </w:pPr>
      <w:r>
        <w:t xml:space="preserve"> — choisir une seule variante</w:t>
      </w:r>
    </w:p>
    <w:p>
      <w:pPr>
        <w:pStyle w:val="Variante"/>
      </w:pPr>
      <w:r>
        <w:t xml:space="preserve">Variante : Engagement individuel consécutif à une donation</w:t>
      </w:r>
    </w:p>
    <w:p>
      <w:pPr>
        <w:pStyle w:val="Corps"/>
      </w:pPr>
      <w:r>
        <w:t xml:space="preserve">Engagement individuel de conservation souscrit dans le dossier [Dossier référence] à la suite de la donation constatée le [Transmission date]. Le bénéficiaire, les titres, la route de transmission et le point de départ sont déterminés par les pièces de donation et non par une valeur préremplie.</w:t>
      </w:r>
    </w:p>
    <w:p>
      <w:pPr>
        <w:pStyle w:val="Variante"/>
      </w:pPr>
      <w:r>
        <w:t xml:space="preserve">Variante : Engagement individuel consécutif à une succession</w:t>
      </w:r>
    </w:p>
    <w:p>
      <w:pPr>
        <w:pStyle w:val="Corps"/>
      </w:pPr>
      <w:r>
        <w:t xml:space="preserve">Engagement individuel de conservation souscrit dans le dossier [Dossier référence] à raison des titres transmis lors du décès survenu le [Décès date]. La date du décès, la déclaration successorale et l'attribution effective des titres sont rapprochées avant le calcul de toute période de conservation.</w:t>
      </w:r>
    </w:p>
    <w:p>
      <w:pPr>
        <w:pStyle w:val="Variante"/>
      </w:pPr>
      <w:r>
        <w:t xml:space="preserve">Variante : Engagement individuel consécutif à un don manuel</w:t>
      </w:r>
    </w:p>
    <w:p>
      <w:pPr>
        <w:pStyle w:val="Corps"/>
      </w:pPr>
      <w:r>
        <w:t xml:space="preserve">Engagement individuel de conservation annexé à la déclaration de don manuel du dossier [Dossier référence], relative à la transmission réalisée le [Transmission date]. Le don manuel, sa révélation, son dépôt et les titres transmis sont identifiés séparément afin de rattacher l'engagement au bon fait générateur.</w:t>
      </w:r>
    </w:p>
    <w:p>
      <w:pPr>
        <w:pStyle w:val="Intertitre"/>
      </w:pPr>
      <w:r>
        <w:t xml:space="preserve">Demande d'exonération partielle</w:t>
      </w:r>
    </w:p>
    <w:p>
      <w:pPr>
        <w:pStyle w:val="Corps"/>
      </w:pPr>
      <w:r>
        <w:t xml:space="preserve">Chaque bénéficiaire identifié demande l'application de l'exonération partielle au taux légal de [Légal exemption rate] % pour la fraction éligible des titres qu'il reçoit. Cette demande demeure subordonnée au respect continu des conditions et ne vaut pas reconnaissance de l'éligibilité par l'administration. La demande est limitée à la valeur et aux titres effectivement éligibles; aucune exonération n'est tenue pour acquise avant le contrôle de toutes les conditions.</w:t>
      </w:r>
    </w:p>
    <w:p>
      <w:pPr>
        <w:pStyle w:val="Intertitre"/>
      </w:pPr>
      <w:r>
        <w:t xml:space="preserve"> — choisir une seule variante</w:t>
      </w:r>
    </w:p>
    <w:p>
      <w:pPr>
        <w:pStyle w:val="Variante"/>
      </w:pPr>
      <w:r>
        <w:t xml:space="preserve">Variante : Insertion dans l'acte de donation</w:t>
      </w:r>
    </w:p>
    <w:p>
      <w:pPr>
        <w:pStyle w:val="Corps"/>
      </w:pPr>
      <w:r>
        <w:t xml:space="preserve">Le présent engagement est incorporé à l'acte de donation reçu ou signé le [Donation deed date], identifié par [Donation deed référence]. Il doit être lu avec les attributions et déclarations fiscales de cet acte. Les donateur, donataire, titres, valeurs, démembrements et charges retenus correspondent exactement à l'acte signé et à ses annexes fiscales.</w:t>
      </w:r>
    </w:p>
    <w:p>
      <w:pPr>
        <w:pStyle w:val="Variante"/>
      </w:pPr>
      <w:r>
        <w:t xml:space="preserve">Variante : Insertion dans la déclaration de succession</w:t>
      </w:r>
    </w:p>
    <w:p>
      <w:pPr>
        <w:pStyle w:val="Corps"/>
      </w:pPr>
      <w:r>
        <w:t xml:space="preserve">Le présent engagement figure dans ou au pied de la déclaration de succession référencée [Succession declaration référence]. Les titres et bénéficiaires sont ceux retenus dans cette déclaration. La qualité d'héritier ou légataire, l'option successorale et l'attribution des titres résultent des actes du règlement, sans présomption tirée du seul lien familial.</w:t>
      </w:r>
    </w:p>
    <w:p>
      <w:pPr>
        <w:pStyle w:val="Variante"/>
      </w:pPr>
      <w:r>
        <w:t xml:space="preserve">Variante : Acte séparé soumis à enregistrement</w:t>
      </w:r>
    </w:p>
    <w:p>
      <w:pPr>
        <w:pStyle w:val="Corps"/>
      </w:pPr>
      <w:r>
        <w:t xml:space="preserve">Le présent engagement est constaté dans l'acte séparé du [Separate act date], référencé [Separate act référence], destiné à être enregistré avec ou en rapprochement de la déclaration de succession. Son enregistrement et son rattachement au dossier doivent être prouvés. La preuve d'enregistrement indique la version, la date et le rattachement à la déclaration; une formalité incomplète bloque cette route documentaire.</w:t>
      </w:r>
    </w:p>
    <w:p>
      <w:pPr>
        <w:pStyle w:val="Variante"/>
      </w:pPr>
      <w:r>
        <w:t xml:space="preserve">Variante : Annexe à la déclaration de don manuel</w:t>
      </w:r>
    </w:p>
    <w:p>
      <w:pPr>
        <w:pStyle w:val="Corps"/>
      </w:pPr>
      <w:r>
        <w:t xml:space="preserve">Le présent engagement est annexé au formulaire fiscal [Légal manual donation formulaire numéro] référencé [Manual donation declaration référence] et déposé le [Manual donation declaration date]. L'engagement source et l'attestation de la société sont joints selon le bordereau déclaré. Le formulaire utilisé, sa version, sa date de dépôt et son bordereau sont conservés avec l'engagement et l'attestation de la société.</w:t>
      </w:r>
    </w:p>
    <w:p>
      <w:pPr>
        <w:pStyle w:val="Intertitre"/>
      </w:pPr>
      <w:r>
        <w:t xml:space="preserve">Transmission ouvrant l'engagement</w:t>
      </w:r>
    </w:p>
    <w:p>
      <w:pPr>
        <w:pStyle w:val="Corps"/>
      </w:pPr>
      <w:r>
        <w:t xml:space="preserve">La transmission à titre gratuit est décrite par [Transmission acte summary]. Les attributions, droits transmis et valeurs invoquées sont rapprochés du tableau [Transmission allocation tableau] sans extension à des titres non identifiés. Le tableau ventile pour chaque bénéficiaire les titres, droits, valeur, fraction éligible et modalités de propriété retenus dans la demande.</w:t>
      </w:r>
    </w:p>
    <w:p>
      <w:pPr>
        <w:pStyle w:val="Intertitre"/>
      </w:pPr>
      <w:r>
        <w:t xml:space="preserve">Clause optionnelle : Donateur</w:t>
      </w:r>
    </w:p>
    <w:p>
      <w:pPr>
        <w:pStyle w:val="Corps"/>
      </w:pPr>
      <w:r>
        <w:t xml:space="preserve">Le donateur est [Donor identité], domicilié [Donor adresse], agissant en qualité de [Donor qualité]. Sa propriété des titres et son pouvoir de les transmettre résultent de [Donor titre preuve]. Les titres cédés antérieurement, démembrés ou grevés sont distingués de ceux dont le donateur peut valablement disposer à la date de l'acte.</w:t>
      </w:r>
    </w:p>
    <w:p>
      <w:pPr>
        <w:pStyle w:val="Intertitre"/>
      </w:pPr>
      <w:r>
        <w:t xml:space="preserve">Clause optionnelle : Défunt</w:t>
      </w:r>
    </w:p>
    <w:p>
      <w:pPr>
        <w:pStyle w:val="Corps"/>
      </w:pPr>
      <w:r>
        <w:t xml:space="preserve">Le défunt est [Deceased identité], dont le dernier domicile est [Deceased last adresse]. La propriété des titres au jour du décès résulte de [Deceased titre preuve]. L'inventaire successoral, le registre des titres et la déclaration sont rapprochés à la date du décès puis à la date d'attribution effective.</w:t>
      </w:r>
    </w:p>
    <w:p>
      <w:pPr>
        <w:pStyle w:val="Intertitre"/>
      </w:pPr>
      <w:r>
        <w:t xml:space="preserve"> — choisir une seule variante</w:t>
      </w:r>
    </w:p>
    <w:p>
      <w:pPr>
        <w:pStyle w:val="Variante"/>
      </w:pPr>
      <w:r>
        <w:t xml:space="preserve">Variante : Bénéficiaire unique</w:t>
      </w:r>
    </w:p>
    <w:p>
      <w:pPr>
        <w:pStyle w:val="Corps"/>
      </w:pPr>
      <w:r>
        <w:t xml:space="preserve">Le bénéficiaire est [Bénéficiaire nom], domicilié [Bénéficiaire adresse], venant à la transmission en qualité de [Bénéficiaire qualité]. Il souscrit personnellement l'engagement pour les titres qui lui sont attribués. Son identité, sa capacité, son domicile fiscal utile et son acceptation sont établis par les pièces de transmission et de signature.</w:t>
      </w:r>
    </w:p>
    <w:p>
      <w:pPr>
        <w:pStyle w:val="Variante"/>
      </w:pPr>
      <w:r>
        <w:t xml:space="preserve">Variante : Pluralité de bénéficiaires</w:t>
      </w:r>
    </w:p>
    <w:p>
      <w:pPr>
        <w:pStyle w:val="Corps"/>
      </w:pPr>
      <w:r>
        <w:t xml:space="preserve">Les bénéficiaires, leurs qualités, leurs attributions et leurs signatures distinctes sont recensés dans [Bénéficiaire engagement tableau]. Chaque engagement est individuel et limité aux titres attribués au bénéficiaire concerné. Le tableau associe à chaque personne son lot, son droit de propriété, son point de départ, son terme et son exemplaire signé.</w:t>
      </w:r>
    </w:p>
    <w:p>
      <w:pPr>
        <w:pStyle w:val="Variante"/>
      </w:pPr>
      <w:r>
        <w:t xml:space="preserve">Variante : Bénéficiaires en indivision</w:t>
      </w:r>
    </w:p>
    <w:p>
      <w:pPr>
        <w:pStyle w:val="Corps"/>
      </w:pPr>
      <w:r>
        <w:t xml:space="preserve">Les coïndivisaires, leurs droits indivis et les titres concernés sont identifiés dans [Indivision bénéficiaire tableau]. Chacun souscrit en sa qualité d'associé, sous réserve du pouvoir de représentation expressément documenté. L'indivision ne fusionne pas les engagements: les droits et obligations de chaque coïndivisaire restent individualisés jusqu'au partage ou à la sortie.</w:t>
      </w:r>
    </w:p>
    <w:p>
      <w:pPr>
        <w:pStyle w:val="Intertitre"/>
      </w:pPr>
      <w:r>
        <w:t xml:space="preserve">Clause optionnelle : Signature par le gérant de l'indivision</w:t>
      </w:r>
    </w:p>
    <w:p>
      <w:pPr>
        <w:pStyle w:val="Corps"/>
      </w:pPr>
      <w:r>
        <w:t xml:space="preserve">Le gérant de l'indivision [Indivision manager nom] signe pour les coïndivisaires dans la limite des pouvoirs résultant de [Indivision direction authority]. La liste des personnes représentées demeure annexée. Le pouvoir est interprété strictement et n'autorise ni une extension du nombre de titres ni une renonciation fiscale non expressément prévue.</w:t>
      </w:r>
    </w:p>
    <w:p>
      <w:pPr>
        <w:pStyle w:val="Intertitre"/>
      </w:pPr>
      <w:r>
        <w:t xml:space="preserve">Capacité et pouvoirs</w:t>
      </w:r>
    </w:p>
    <w:p>
      <w:pPr>
        <w:pStyle w:val="Corps"/>
      </w:pPr>
      <w:r>
        <w:t xml:space="preserve">La capacité de chaque souscripteur et, le cas échéant, les pouvoirs de son représentant sont établis par [Bénéficiaire pouvoir preuve tableau]. Aucune personne non identifiée n'est réputée engagée. Une incapacité, mesure de protection ou représentation particulière est traitée selon la décision et l'autorisation correspondant à la personne concernée.</w:t>
      </w:r>
    </w:p>
    <w:p>
      <w:pPr>
        <w:pStyle w:val="Intertitre"/>
      </w:pPr>
      <w:r>
        <w:t xml:space="preserve">Caractère individuel de l'engagement</w:t>
      </w:r>
    </w:p>
    <w:p>
      <w:pPr>
        <w:pStyle w:val="Corps"/>
      </w:pPr>
      <w:r>
        <w:t xml:space="preserve">Chaque bénéficiaire s'engage séparément pour lui et ses ayants cause à titre gratuit. La défaillance de l'un n'est pas présentée comme entraînant, par elle-même, celle des engagements valablement respectés par les autres bénéficiaires. Les incidents, transferts et attestations sont donc suivis bénéficiaire par bénéficiaire, même lorsque les titres proviennent du même acte.</w:t>
      </w:r>
    </w:p>
    <w:p>
      <w:pPr>
        <w:pStyle w:val="Intertitre"/>
      </w:pPr>
      <w:r>
        <w:t xml:space="preserve">Société dont les titres sont transmis</w:t>
      </w:r>
    </w:p>
    <w:p>
      <w:pPr>
        <w:pStyle w:val="Corps"/>
      </w:pPr>
      <w:r>
        <w:t xml:space="preserve">La société concernée est [Target société nom], [Target société légal formulaire], dont le siège est situé [Target société enregistré office], immatriculée sous [Target société registration numéro], au capital de [Société share capital]. Les catégories de titres et leurs droits sont décrits dans [Société titre droits tableau]. L'extrait d'immatriculation, les statuts et le registre des titres sont rapprochés afin de confirmer la forme, le capital et les droits à la transmission.</w:t>
      </w:r>
    </w:p>
    <w:p>
      <w:pPr>
        <w:pStyle w:val="Intertitre"/>
      </w:pPr>
      <w:r>
        <w:t xml:space="preserve"> — choisir une seule variante</w:t>
      </w:r>
    </w:p>
    <w:p>
      <w:pPr>
        <w:pStyle w:val="Variante"/>
      </w:pPr>
      <w:r>
        <w:t xml:space="preserve">Variante : Société soumise à l'impôt sur les sociétés</w:t>
      </w:r>
    </w:p>
    <w:p>
      <w:pPr>
        <w:pStyle w:val="Corps"/>
      </w:pPr>
      <w:r>
        <w:t xml:space="preserve">La société relève de l'impôt sur les sociétés selon [Corporate tax status preuve]. La condition de direction est appréciée au regard des fonctions qualifiantes applicables à ce régime. La preuve précise si l'imposition résulte de plein droit ou d'une option, sa date d'effet et la fonction de direction correspondante.</w:t>
      </w:r>
    </w:p>
    <w:p>
      <w:pPr>
        <w:pStyle w:val="Variante"/>
      </w:pPr>
      <w:r>
        <w:t xml:space="preserve">Variante : Société relevant du régime des sociétés de personnes</w:t>
      </w:r>
    </w:p>
    <w:p>
      <w:pPr>
        <w:pStyle w:val="Corps"/>
      </w:pPr>
      <w:r>
        <w:t xml:space="preserve">La société relève des articles 8 ou 8 ter selon [Partnership tax status preuve]. La condition de gestion est appréciée au regard de l'activité professionnelle principale exercée dans la société. Le régime fiscal est vérifié pendant toute la période suivie et commande l'analyse de l'activité professionnelle principale de la personne concernée.</w:t>
      </w:r>
    </w:p>
    <w:p>
      <w:pPr>
        <w:pStyle w:val="Intertitre"/>
      </w:pPr>
      <w:r>
        <w:t xml:space="preserve"> — choisir une seule variante</w:t>
      </w:r>
    </w:p>
    <w:p>
      <w:pPr>
        <w:pStyle w:val="Variante"/>
      </w:pPr>
      <w:r>
        <w:t xml:space="preserve">Variante : Activité opérationnelle éligible</w:t>
      </w:r>
    </w:p>
    <w:p>
      <w:pPr>
        <w:pStyle w:val="Corps"/>
      </w:pPr>
      <w:r>
        <w:t xml:space="preserve">L'activité principale déclarée est [Eligible activité description]. Son caractère industriel, commercial, artisanal, agricole ou libéral et sa continuité sont établis par [Eligible activité preuve tableau]. Les moyens humains, actifs, contrats, revenus et décisions démontrent l'exercice réel et continu de l'activité annoncée.</w:t>
      </w:r>
    </w:p>
    <w:p>
      <w:pPr>
        <w:pStyle w:val="Variante"/>
      </w:pPr>
      <w:r>
        <w:t xml:space="preserve">Variante : Holding animatrice</w:t>
      </w:r>
    </w:p>
    <w:p>
      <w:pPr>
        <w:pStyle w:val="Corps"/>
      </w:pPr>
      <w:r>
        <w:t xml:space="preserve">La société anime le groupe décrit dans [Controlled group description] et contrôle les filiales recensées dans [Controlled subsidiary tableau]. L'animation effective et son caractère principal résultent de [Détention animation preuve]. Les fonctions d'animation, décisions de politique, contrôles de filiales, services internes et moyens propres sont documentés par période.</w:t>
      </w:r>
    </w:p>
    <w:p>
      <w:pPr>
        <w:pStyle w:val="Variante"/>
      </w:pPr>
      <w:r>
        <w:t xml:space="preserve">Variante : Activité mixte principalement éligible</w:t>
      </w:r>
    </w:p>
    <w:p>
      <w:pPr>
        <w:pStyle w:val="Corps"/>
      </w:pPr>
      <w:r>
        <w:t xml:space="preserve">Les activités sont recensées dans [Mixed activité tableau]. L'analyse [Principal activité analysis] établit que l'activité éligible demeure principale pendant la période contrôlée. L'analyse combine chiffre d'affaires, actifs, moyens et organisation sans déduire le caractère principal d'un indicateur isolé.</w:t>
      </w:r>
    </w:p>
    <w:p>
      <w:pPr>
        <w:pStyle w:val="Variante"/>
      </w:pPr>
      <w:r>
        <w:t xml:space="preserve">Variante : Activité patrimoniale non éligible</w:t>
      </w:r>
    </w:p>
    <w:p>
      <w:pPr>
        <w:pStyle w:val="Corps"/>
      </w:pPr>
      <w:r>
        <w:t xml:space="preserve">L'analyse [Patrimonial activité justificatif] conclut que l'activité principale consiste dans la gestion du propre patrimoine mobilier ou immobilier. Le document ne peut pas être exporté comme engagement éligible sur cette base. Cette branche bloque l'affirmation d'éligibilité et impose une analyse ou une orientation distincte avant tout dépôt de la demande.</w:t>
      </w:r>
    </w:p>
    <w:p>
      <w:pPr>
        <w:pStyle w:val="Intertitre"/>
      </w:pPr>
      <w:r>
        <w:t xml:space="preserve">Continuité de l'activité</w:t>
      </w:r>
    </w:p>
    <w:p>
      <w:pPr>
        <w:pStyle w:val="Corps"/>
      </w:pPr>
      <w:r>
        <w:t xml:space="preserve">Le respect antérieur de la condition d'activité est établi dans [Prior activité compliance justificatif]. Sa continuité depuis la transmission jusqu'au terme de l'engagement individuel est suivie dans [Activité continuity justificatif] ; toute modification substantielle déclenche une revue. Tout changement d'activité, d'objet, d'actifs ou de filiales est signalé et daté afin d'en mesurer l'incidence sur la continuité.</w:t>
      </w:r>
    </w:p>
    <w:p>
      <w:pPr>
        <w:pStyle w:val="Intertitre"/>
      </w:pPr>
      <w:r>
        <w:t xml:space="preserve"> — choisir une seule variante</w:t>
      </w:r>
    </w:p>
    <w:p>
      <w:pPr>
        <w:pStyle w:val="Variante"/>
      </w:pPr>
      <w:r>
        <w:t xml:space="preserve">Variante : Absence d'actifs exclus identifiés</w:t>
      </w:r>
    </w:p>
    <w:p>
      <w:pPr>
        <w:pStyle w:val="Corps"/>
      </w:pPr>
      <w:r>
        <w:t xml:space="preserve">L'inventaire [Exclu actif inventory] ne fait apparaître aucun actif dont l'usage personnel ou non professionnel réduirait la fraction éligible. Cette conclusion reste soumise au contrôle périodique prévu. L'inventaire couvre les actifs détenus directement et ceux des sociétés contrôlées lorsque leur valeur doit remonter dans celle des titres.</w:t>
      </w:r>
    </w:p>
    <w:p>
      <w:pPr>
        <w:pStyle w:val="Variante"/>
      </w:pPr>
      <w:r>
        <w:t xml:space="preserve">Variante : Actifs exclus inventoriés et valorisés</w:t>
      </w:r>
    </w:p>
    <w:p>
      <w:pPr>
        <w:pStyle w:val="Corps"/>
      </w:pPr>
      <w:r>
        <w:t xml:space="preserve">Les actifs exclus sont décrits et valorisés dans [Exclu actif inventory]. La fraction de valeur susceptible de bénéficier du régime est déterminée dans [Eligible valeur fraction analysis] après contrôle de l'affectation pendant les [Légal exclu actif use années] années requises. La méthode, la date et la source de chaque valeur sont conservées, ainsi que la preuve de l'affectation exclusive pendant la période requise.</w:t>
      </w:r>
    </w:p>
    <w:p>
      <w:pPr>
        <w:pStyle w:val="Variante"/>
      </w:pPr>
      <w:r>
        <w:t xml:space="preserve">Variante : Analyse des actifs incomplète</w:t>
      </w:r>
    </w:p>
    <w:p>
      <w:pPr>
        <w:pStyle w:val="Corps"/>
      </w:pPr>
      <w:r>
        <w:t xml:space="preserve">L'inventaire ou la valorisation des actifs est incomplet selon [Exclu actif gap justificatif]. Aucune fraction éligible ne peut être affirmée avant correction de ce point. Cette branche interdit le calcul définitif tant que la nature, l'usage, la durée d'affectation et la valeur des actifs ne sont pas justifiés.</w:t>
      </w:r>
    </w:p>
    <w:p>
      <w:pPr>
        <w:pStyle w:val="Intertitre"/>
      </w:pPr>
      <w:r>
        <w:t xml:space="preserve"> — choisir une seule variante</w:t>
      </w:r>
    </w:p>
    <w:p>
      <w:pPr>
        <w:pStyle w:val="Variante"/>
      </w:pPr>
      <w:r>
        <w:t xml:space="preserve">Variante : Engagement collectif source</w:t>
      </w:r>
    </w:p>
    <w:p>
      <w:pPr>
        <w:pStyle w:val="Corps"/>
      </w:pPr>
      <w:r>
        <w:t xml:space="preserve">Les titres transmis sont couverts par l'engagement collectif référencé [Source engagement référence]. Sa date, son enregistrement, ses signataires, ses titres, ses seuils et son terme sont rapprochés dans [Source engagement compliance matrix]. Les titres transmis sont rapprochés des titres encore couverts, des signataires, des seuils continus et du terme réellement opposable à la transmission.</w:t>
      </w:r>
    </w:p>
    <w:p>
      <w:pPr>
        <w:pStyle w:val="Variante"/>
      </w:pPr>
      <w:r>
        <w:t xml:space="preserve">Variante : Engagement unilatéral source</w:t>
      </w:r>
    </w:p>
    <w:p>
      <w:pPr>
        <w:pStyle w:val="Corps"/>
      </w:pPr>
      <w:r>
        <w:t xml:space="preserve">Les titres transmis sont couverts par l'engagement unilatéral référencé [Source engagement référence]. Son auteur, son enregistrement, ses titres, ses seuils et son terme sont rapprochés dans [Source engagement compliance matrix]. L'auteur unique, les titres, l'enregistrement, les seuils et les événements intervenus depuis la souscription sont vérifiés avant reprise.</w:t>
      </w:r>
    </w:p>
    <w:p>
      <w:pPr>
        <w:pStyle w:val="Variante"/>
      </w:pPr>
      <w:r>
        <w:t xml:space="preserve">Variante : Engagement post mortem source</w:t>
      </w:r>
    </w:p>
    <w:p>
      <w:pPr>
        <w:pStyle w:val="Corps"/>
      </w:pPr>
      <w:r>
        <w:t xml:space="preserve">Les titres transmis sont couverts par l'engagement post mortem référencé [Source engagement référence]. La transmission par décès, la date de souscription, le délai, les titres et le terme sont vérifiés dans [Source engagement compliance matrix]. La date du décès et le délai de conclusion sont prouvés, puis le bénéficiaire poursuit la période restant à courir sans la recréer.</w:t>
      </w:r>
    </w:p>
    <w:p>
      <w:pPr>
        <w:pStyle w:val="Variante"/>
      </w:pPr>
      <w:r>
        <w:t xml:space="preserve">Variante : Conditions de l'engagement réputé acquis</w:t>
      </w:r>
    </w:p>
    <w:p>
      <w:pPr>
        <w:pStyle w:val="Corps"/>
      </w:pPr>
      <w:r>
        <w:t xml:space="preserve">Les conditions de détention, de seuil et de direction permettant de réputer l'engagement acquis sont établies dans [Deemed acquired condition matrix]. Aucun engagement collectif fictif n'est ajouté au présent document. Les durées antérieures de détention et de direction, les seuils et la date de transmission sont contrôlés sans inventer un engagement exprès.</w:t>
      </w:r>
    </w:p>
    <w:p>
      <w:pPr>
        <w:pStyle w:val="Intertitre"/>
      </w:pPr>
      <w:r>
        <w:t xml:space="preserve">Clause optionnelle : Poursuite de l'engagement source</w:t>
      </w:r>
    </w:p>
    <w:p>
      <w:pPr>
        <w:pStyle w:val="Corps"/>
      </w:pPr>
      <w:r>
        <w:t xml:space="preserve">Jusqu'au [Source engagement end date], chaque bénéficiaire conserve les titres reçus et poursuit l'engagement source dans les limites décrites par [Source continuation tableau]. L'engagement individuel commence ensuite selon le calcul documenté. Chaque mouvement entre transmission et terme est inscrit dans le registre et analysé avant de calculer le point de départ individuel.</w:t>
      </w:r>
    </w:p>
    <w:p>
      <w:pPr>
        <w:pStyle w:val="Intertitre"/>
      </w:pPr>
      <w:r>
        <w:t xml:space="preserve">Clause optionnelle : Dossier de l'engagement source</w:t>
      </w:r>
    </w:p>
    <w:p>
      <w:pPr>
        <w:pStyle w:val="Corps"/>
      </w:pPr>
      <w:r>
        <w:t xml:space="preserve">La copie de l'engagement source, sa preuve d'enregistrement, les registres de titres, les seuils, les attestations et les éventuels avenants sont réunis sous [Source engagement preuve référence]. Une copie incomplète, un registre non rapproché ou un seuil non démontré bloque l'utilisation de l'engagement exprès comme source.</w:t>
      </w:r>
    </w:p>
    <w:p>
      <w:pPr>
        <w:pStyle w:val="Intertitre"/>
      </w:pPr>
      <w:r>
        <w:t xml:space="preserve">Clause optionnelle : Dossier des conditions réputées acquises</w:t>
      </w:r>
    </w:p>
    <w:p>
      <w:pPr>
        <w:pStyle w:val="Corps"/>
      </w:pPr>
      <w:r>
        <w:t xml:space="preserve">Les preuves de détention, de seuils, d'activité et de direction antérieures à la transmission sont réunies sous [Deemed acquired preuve référence]. Aucune preuve d'un engagement collectif inexistant n'est exigée. Les preuves sont classées par condition et période; l'absence d'un acte collectif inexistant n'est pas traitée comme une anomalie.</w:t>
      </w:r>
    </w:p>
    <w:p>
      <w:pPr>
        <w:pStyle w:val="Intertitre"/>
      </w:pPr>
      <w:r>
        <w:t xml:space="preserve"> — choisir une seule variante</w:t>
      </w:r>
    </w:p>
    <w:p>
      <w:pPr>
        <w:pStyle w:val="Variante"/>
      </w:pPr>
      <w:r>
        <w:t xml:space="preserve">Variante : Engagement portant sur tous les titres transmis</w:t>
      </w:r>
    </w:p>
    <w:p>
      <w:pPr>
        <w:pStyle w:val="Corps"/>
      </w:pPr>
      <w:r>
        <w:t xml:space="preserve">Le bénéficiaire engage tous les titres reçus et identifiés dans [Transmitted titre tableau], soit [Transmitted titre count] titres auxquels est attribuée la valeur déclarée de [Transmitted titre valeur]. Le tableau permet de suivre sans ambiguïté le même lot depuis l'acte de transmission jusqu'au registre et aux attestations finales.</w:t>
      </w:r>
    </w:p>
    <w:p>
      <w:pPr>
        <w:pStyle w:val="Variante"/>
      </w:pPr>
      <w:r>
        <w:t xml:space="preserve">Variante : Engagement limité à une fraction des titres transmis</w:t>
      </w:r>
    </w:p>
    <w:p>
      <w:pPr>
        <w:pStyle w:val="Corps"/>
      </w:pPr>
      <w:r>
        <w:t xml:space="preserve">Le bénéficiaire engage exclusivement les titres recensés dans [Committed titre tableau]. Le rapprochement [Partial scope reconciliation] distingue sans ambiguïté ces titres des autres titres transmis pour lesquels l'exonération n'est pas demandée. Les autres titres demeurent hors demande et hors engagement, sans que leurs mouvements modifient artificiellement le lot engagé.</w:t>
      </w:r>
    </w:p>
    <w:p>
      <w:pPr>
        <w:pStyle w:val="Intertitre"/>
      </w:pPr>
      <w:r>
        <w:t xml:space="preserve">Catégories et droits attachés</w:t>
      </w:r>
    </w:p>
    <w:p>
      <w:pPr>
        <w:pStyle w:val="Corps"/>
      </w:pPr>
      <w:r>
        <w:t xml:space="preserve">Les catégories, numéros, droits financiers, droits de vote et éventuelles restrictions des titres engagés sont décrits dans [Transmitted titre droits matrix]. Le registre de mouvements et les comptes de titulaires sont rapprochés de cette description. Les droits temporaires, doubles, suspendus ou démembrés sont traités selon leur régime juridique à la date de chaque contrôle.</w:t>
      </w:r>
    </w:p>
    <w:p>
      <w:pPr>
        <w:pStyle w:val="Intertitre"/>
      </w:pPr>
      <w:r>
        <w:t xml:space="preserve">Fraction de valeur éligible</w:t>
      </w:r>
    </w:p>
    <w:p>
      <w:pPr>
        <w:pStyle w:val="Corps"/>
      </w:pPr>
      <w:r>
        <w:t xml:space="preserve">La fraction de valeur revendiquée est justifiée dans [Eligible valeur fraction analysis] et correspond à [Eligible valeur fraction percentage] % de la valeur retenue pour les titres engagés. Elle tient compte des actifs exclus et de l'interposition sans être présumée par le présent engagement. Le calcul expose les valeurs brutes, actifs exclus, participations interposées, pourcentages et arrondis utilisés pour la fraction revendiquée.</w:t>
      </w:r>
    </w:p>
    <w:p>
      <w:pPr>
        <w:pStyle w:val="Intertitre"/>
      </w:pPr>
      <w:r>
        <w:t xml:space="preserve"> — choisir une seule variante</w:t>
      </w:r>
    </w:p>
    <w:p>
      <w:pPr>
        <w:pStyle w:val="Variante"/>
      </w:pPr>
      <w:r>
        <w:t xml:space="preserve">Variante : Titres reçus en pleine propriété</w:t>
      </w:r>
    </w:p>
    <w:p>
      <w:pPr>
        <w:pStyle w:val="Corps"/>
      </w:pPr>
      <w:r>
        <w:t xml:space="preserve">Les titres engagés sont reçus en pleine propriété selon [Propriété droits tableau]. Aucun usufruit réservé n'est affirmé pour ces titres. La pleine propriété est confirmée par l'acte et le registre, sans déduire l'absence de démembrement d'une simple mention générique.</w:t>
      </w:r>
    </w:p>
    <w:p>
      <w:pPr>
        <w:pStyle w:val="Variante"/>
      </w:pPr>
      <w:r>
        <w:t xml:space="preserve">Variante : Nue-propriété avec usufruit réservé</w:t>
      </w:r>
    </w:p>
    <w:p>
      <w:pPr>
        <w:pStyle w:val="Corps"/>
      </w:pPr>
      <w:r>
        <w:t xml:space="preserve">Le bénéficiaire reçoit la nue-propriété des titres décrits dans [Propriété droits tableau] tandis que l'usufruit est réservé à [Usufruit holder identité]. Le nu-propriétaire souscrit seul l'engagement individuel pour ces titres. Le nu-propriétaire, l'usufruitier, les titres et les droits de vote sont identifiés; la limitation statutaire est contrôlée avant le dépôt.</w:t>
      </w:r>
    </w:p>
    <w:p>
      <w:pPr>
        <w:pStyle w:val="Variante"/>
      </w:pPr>
      <w:r>
        <w:t xml:space="preserve">Variante : Droits transmis de nature mixte</w:t>
      </w:r>
    </w:p>
    <w:p>
      <w:pPr>
        <w:pStyle w:val="Corps"/>
      </w:pPr>
      <w:r>
        <w:t xml:space="preserve">Le tableau [Propriété droits tableau] distingue les titres reçus en pleine propriété et ceux reçus en nue-propriété. L'engagement et la demande d'exonération sont ventilés selon chaque droit effectivement reçu. Chaque catégorie est ventilée et suivie séparément afin d'éviter l'application d'une même clause à des droits de nature différente.</w:t>
      </w:r>
    </w:p>
    <w:p>
      <w:pPr>
        <w:pStyle w:val="Variante"/>
      </w:pPr>
      <w:r>
        <w:t xml:space="preserve">Variante : Transmission du seul usufruit</w:t>
      </w:r>
    </w:p>
    <w:p>
      <w:pPr>
        <w:pStyle w:val="Corps"/>
      </w:pPr>
      <w:r>
        <w:t xml:space="preserve">Le bénéficiaire identifié reçoit seulement l'usufruit selon [Propriété droits tableau]. Cette route ne permet pas de lui faire souscrire l'engagement individuel réservé au titulaire des titres ou de leur nue-propriété. Cette route est bloquante pour une demande fondée sur la seule qualité d'usufruitier et ne crée aucun engagement de nue-propriété absent.</w:t>
      </w:r>
    </w:p>
    <w:p>
      <w:pPr>
        <w:pStyle w:val="Intertitre"/>
      </w:pPr>
      <w:r>
        <w:t xml:space="preserve">Clause optionnelle : Limitation des droits de vote de l'usufruitier</w:t>
      </w:r>
    </w:p>
    <w:p>
      <w:pPr>
        <w:pStyle w:val="Corps"/>
      </w:pPr>
      <w:r>
        <w:t xml:space="preserve">Les statuts limitent les droits de vote de l'usufruitier aux décisions concernant l'affectation des bénéfices pour tous les titres démembrés concernés. La preuve de cette limitation figure dans [Usufruit voting limitation preuve]. La clause statutaire demeure en vigueur pendant la réserve; toute modification est contrôlée avant son adoption et inscrite au dossier.</w:t>
      </w:r>
    </w:p>
    <w:p>
      <w:pPr>
        <w:pStyle w:val="Intertitre"/>
      </w:pPr>
      <w:r>
        <w:t xml:space="preserve">Clause optionnelle : Absence de démembrement concerné</w:t>
      </w:r>
    </w:p>
    <w:p>
      <w:pPr>
        <w:pStyle w:val="Corps"/>
      </w:pPr>
      <w:r>
        <w:t xml:space="preserve">Aucun démembrement n'est déclaré pour les titres engagés. Cette affirmation est rapprochée du registre et de l'acte de transmission selon [No dismemberment preuve]. Les comptes de titres, l'acte et les statuts concordent sur l'absence de démembrement pour le lot placé sous engagement.</w:t>
      </w:r>
    </w:p>
    <w:p>
      <w:pPr>
        <w:pStyle w:val="Intertitre"/>
      </w:pPr>
      <w:r>
        <w:t xml:space="preserve">Clause optionnelle : Engagement de chaque coïndivisaire</w:t>
      </w:r>
    </w:p>
    <w:p>
      <w:pPr>
        <w:pStyle w:val="Corps"/>
      </w:pPr>
      <w:r>
        <w:t xml:space="preserve">Chaque coïndivisaire est identifié comme associé et demeure individuellement tenu pour les droits reçus. Le tableau [Individuel engagement matrix] rattache chaque signature, quote-part et titre sans engagement collectif implicite entre bénéficiaires. Le gérant ne dispense pas chaque coïndivisaire de l'engagement requis, sauf représentation valablement établie pour la signature concernée.</w:t>
      </w:r>
    </w:p>
    <w:p>
      <w:pPr>
        <w:pStyle w:val="Intertitre"/>
      </w:pPr>
      <w:r>
        <w:t xml:space="preserve"> — choisir une seule variante</w:t>
      </w:r>
    </w:p>
    <w:p>
      <w:pPr>
        <w:pStyle w:val="Variante"/>
      </w:pPr>
      <w:r>
        <w:t xml:space="preserve">Variante : Détention directe</w:t>
      </w:r>
    </w:p>
    <w:p>
      <w:pPr>
        <w:pStyle w:val="Corps"/>
      </w:pPr>
      <w:r>
        <w:t xml:space="preserve">Le bénéficiaire reçoit directement les titres de la société cible selon [Direct détention tableau]. Aucune société interposée n'est utilisée pour la fraction revendiquée. L'absence d'interposition est confirmée par l'acte, le registre et l'organigramme applicable à la fraction de valeur revendiquée.</w:t>
      </w:r>
    </w:p>
    <w:p>
      <w:pPr>
        <w:pStyle w:val="Variante"/>
      </w:pPr>
      <w:r>
        <w:t xml:space="preserve">Variante : Interposition à un niveau</w:t>
      </w:r>
    </w:p>
    <w:p>
      <w:pPr>
        <w:pStyle w:val="Corps"/>
      </w:pPr>
      <w:r>
        <w:t xml:space="preserve">Le bénéficiaire reçoit les titres de [First interposée société nom], laquelle détient la société cible selon [One niveau détention tableau]. Le calcul de la fraction de valeur et la conservation de la participation sont documentés. La société interposée conserve sa participation et fournit ses registres et attestations pendant toutes les périodes légalement requises.</w:t>
      </w:r>
    </w:p>
    <w:p>
      <w:pPr>
        <w:pStyle w:val="Variante"/>
      </w:pPr>
      <w:r>
        <w:t xml:space="preserve">Variante : Interposition à deux niveaux</w:t>
      </w:r>
    </w:p>
    <w:p>
      <w:pPr>
        <w:pStyle w:val="Corps"/>
      </w:pPr>
      <w:r>
        <w:t xml:space="preserve">La chaîne comprend [First interposée société nom] et [Second interposée société nom] selon [Two niveau détention tableau]. Elle ne dépasse pas le maximum légal de [Légal max interposition levels] niveaux et chaque participation est identifiée. Chaque niveau est documenté séparément et la chaîne n'est jamais prolongée au-delà du maximum officiel résolu pour le dossier.</w:t>
      </w:r>
    </w:p>
    <w:p>
      <w:pPr>
        <w:pStyle w:val="Intertitre"/>
      </w:pPr>
      <w:r>
        <w:t xml:space="preserve">Clause optionnelle : Conservation inchangée des participations</w:t>
      </w:r>
    </w:p>
    <w:p>
      <w:pPr>
        <w:pStyle w:val="Corps"/>
      </w:pPr>
      <w:r>
        <w:t xml:space="preserve">Pendant toute la durée restant à courir de l'engagement source puis pendant l'engagement individuel, les participations à chaque niveau demeurent inchangées selon [Interposée conservation tableau]. Toute variation est soumise à revue avant exécution. Tout mouvement dans la chaîne est analysé avant exécution puis reporté dans les tableaux, fractions et attestations qu'il affecte.</w:t>
      </w:r>
    </w:p>
    <w:p>
      <w:pPr>
        <w:pStyle w:val="Intertitre"/>
      </w:pPr>
      <w:r>
        <w:t xml:space="preserve">Clause optionnelle : Calcul de la fraction indirecte</w:t>
      </w:r>
    </w:p>
    <w:p>
      <w:pPr>
        <w:pStyle w:val="Corps"/>
      </w:pPr>
      <w:r>
        <w:t xml:space="preserve">La fraction de valeur indirectement éligible est calculée dans [Interposée valeur fraction analysis] à partir des participations successives et des actifs exclus. Le calcul est conservé avec les comptes et attestations correspondants. Les valeurs, pourcentages, dates et arrondis sont reproduits de niveau en niveau afin de rendre le calcul indirect vérifiable.</w:t>
      </w:r>
    </w:p>
    <w:p>
      <w:pPr>
        <w:pStyle w:val="Intertitre"/>
      </w:pPr>
      <w:r>
        <w:t xml:space="preserve">Engagement personnel de conservation</w:t>
      </w:r>
    </w:p>
    <w:p>
      <w:pPr>
        <w:pStyle w:val="Corps"/>
      </w:pPr>
      <w:r>
        <w:t xml:space="preserve">Le bénéficiaire s'engage irrévocablement, pour lui et ses ayants cause à titre gratuit, à conserver les titres précisément identifiés jusqu'au terme calculé. L'engagement ne s'étend pas à des titres absents du tableau de portée. Le lot engagé, son titulaire, son droit de propriété et son terme sont identifiés de façon stable dans tous les registres et attestations.</w:t>
      </w:r>
    </w:p>
    <w:p>
      <w:pPr>
        <w:pStyle w:val="Intertitre"/>
      </w:pPr>
      <w:r>
        <w:t xml:space="preserve">Durée légale de l'engagement</w:t>
      </w:r>
    </w:p>
    <w:p>
      <w:pPr>
        <w:pStyle w:val="Corps"/>
      </w:pPr>
      <w:r>
        <w:t xml:space="preserve">La durée individuelle est de [Légal individuel années] années à compter du point de départ légal applicable. Les dates [Individuel début date] et [Individuel end date] sont calculées et vérifiées dans [Individuel period calculation]. Le calendrier distingue la transmission, le terme source, le point de départ individuel et le terme de six ans applicable au dossier.</w:t>
      </w:r>
    </w:p>
    <w:p>
      <w:pPr>
        <w:pStyle w:val="Intertitre"/>
      </w:pPr>
      <w:r>
        <w:t xml:space="preserve">Clause optionnelle : Point de départ au terme de l'engagement source</w:t>
      </w:r>
    </w:p>
    <w:p>
      <w:pPr>
        <w:pStyle w:val="Corps"/>
      </w:pPr>
      <w:r>
        <w:t xml:space="preserve">L'engagement individuel commence au terme de l'engagement source, fixé au [Source engagement end date], après poursuite de celui-ci depuis la transmission. Le calcul est rapproché de [Source term preuve]. Le point de départ n'est retenu qu'après preuve du terme de l'engagement exprès et de sa poursuite continue depuis la transmission.</w:t>
      </w:r>
    </w:p>
    <w:p>
      <w:pPr>
        <w:pStyle w:val="Intertitre"/>
      </w:pPr>
      <w:r>
        <w:t xml:space="preserve">Clause optionnelle : Point de départ du réputé acquis entre vifs</w:t>
      </w:r>
    </w:p>
    <w:p>
      <w:pPr>
        <w:pStyle w:val="Corps"/>
      </w:pPr>
      <w:r>
        <w:t xml:space="preserve">La voie réputée acquise résulte d'une transmission entre vifs. Le point de départ correspond à la date légalement pertinente de l'acte constatant l'engagement individuel, déterminée dans [Deemed donation début preuve]. La date est rattachée à l'acte entre vifs et au constat des conditions réputées acquises, sans report fictif au terme d'un engagement inexistant.</w:t>
      </w:r>
    </w:p>
    <w:p>
      <w:pPr>
        <w:pStyle w:val="Intertitre"/>
      </w:pPr>
      <w:r>
        <w:t xml:space="preserve">Clause optionnelle : Point de départ du réputé acquis par décès</w:t>
      </w:r>
    </w:p>
    <w:p>
      <w:pPr>
        <w:pStyle w:val="Corps"/>
      </w:pPr>
      <w:r>
        <w:t xml:space="preserve">La voie réputée acquise résulte d'une transmission par décès. L'engagement individuel commence au décès selon [Deemed succession début preuve] et doit être relié à la déclaration ou à l'acte séparé enregistré. La date du décès, la déclaration et l'acte séparé éventuel sont rapprochés pour éviter tout décalage artificiel du point de départ.</w:t>
      </w:r>
    </w:p>
    <w:p>
      <w:pPr>
        <w:pStyle w:val="Intertitre"/>
      </w:pPr>
      <w:r>
        <w:t xml:space="preserve">Ayants cause à titre gratuit</w:t>
      </w:r>
    </w:p>
    <w:p>
      <w:pPr>
        <w:pStyle w:val="Corps"/>
      </w:pPr>
      <w:r>
        <w:t xml:space="preserve">Tout ayant cause à titre gratuit appelé à recueillir les titres pendant la période est informé de la poursuite de l'engagement. La chaîne de transmission et les engagements repris sont consignés dans [Gratuitous successor tableau]. Toute transmission gratuite ultérieure identifie le successeur, le nombre de titres et le reliquat de durée repris jusqu'au terme initial.</w:t>
      </w:r>
    </w:p>
    <w:p>
      <w:pPr>
        <w:pStyle w:val="Intertitre"/>
      </w:pPr>
      <w:r>
        <w:t xml:space="preserve">Interdiction de disposer des titres engagés</w:t>
      </w:r>
    </w:p>
    <w:p>
      <w:pPr>
        <w:pStyle w:val="Corps"/>
      </w:pPr>
      <w:r>
        <w:t xml:space="preserve">Le bénéficiaire s'interdit toute cession ou donation des titres engagés pendant la période, sauf opération expressément analysée au regard du texte applicable. Aucun transfert n'est réputé permis par la seule qualité d'associé du cessionnaire. Une opération envisagée est analysée avant signature et n'est tenue pour permise que si toutes les conditions de l'exception sont réunies.</w:t>
      </w:r>
    </w:p>
    <w:p>
      <w:pPr>
        <w:pStyle w:val="Intertitre"/>
      </w:pPr>
      <w:r>
        <w:t xml:space="preserve">Clause optionnelle : Titres non placés sous engagement</w:t>
      </w:r>
    </w:p>
    <w:p>
      <w:pPr>
        <w:pStyle w:val="Corps"/>
      </w:pPr>
      <w:r>
        <w:t xml:space="preserve">Les titres transmis mais exclus du périmètre de l'engagement sont identifiés dans [Uncommitted titre tableau]. Leur traitement ne doit pas modifier le suivi individualisé des titres engagés. Les titres hors périmètre sont suivis séparément et ne bénéficient ni de la demande ni des attestations relatives au lot engagé.</w:t>
      </w:r>
    </w:p>
    <w:p>
      <w:pPr>
        <w:pStyle w:val="Intertitre"/>
      </w:pPr>
      <w:r>
        <w:t xml:space="preserve">Exclusion du compte PME innovation</w:t>
      </w:r>
    </w:p>
    <w:p>
      <w:pPr>
        <w:pStyle w:val="Corps"/>
      </w:pPr>
      <w:r>
        <w:t xml:space="preserve">Les titres engagés ne sont pas inscrits sur un compte PME innovation selon [Pme innovation account preuve]. Toute inscription projetée est suspendue jusqu'à validation du régime. Le contrôle est renouvelé lors de chaque mouvement et à chaque attestation à partir des comptes ouverts par le teneur de registre.</w:t>
      </w:r>
    </w:p>
    <w:p>
      <w:pPr>
        <w:pStyle w:val="Intertitre"/>
      </w:pPr>
      <w:r>
        <w:t xml:space="preserve"> — choisir une seule variante</w:t>
      </w:r>
    </w:p>
    <w:p>
      <w:pPr>
        <w:pStyle w:val="Variante"/>
      </w:pPr>
      <w:r>
        <w:t xml:space="preserve">Variante : Fonction de direction éligible</w:t>
      </w:r>
    </w:p>
    <w:p>
      <w:pPr>
        <w:pStyle w:val="Corps"/>
      </w:pPr>
      <w:r>
        <w:t xml:space="preserve">La fonction [Qualifying direction function] est exercée dans la société soumise à l'impôt sur les sociétés par [Qualifying manager nom]. Sa nomination, ses pouvoirs et son exercice effectif résultent de [Direction function preuve]. La fonction figure parmi les fonctions officielles admissibles et son exercice effectif est établi par les pouvoirs, décisions et actes accomplis.</w:t>
      </w:r>
    </w:p>
    <w:p>
      <w:pPr>
        <w:pStyle w:val="Variante"/>
      </w:pPr>
      <w:r>
        <w:t xml:space="preserve">Variante : Activité professionnelle principale</w:t>
      </w:r>
    </w:p>
    <w:p>
      <w:pPr>
        <w:pStyle w:val="Corps"/>
      </w:pPr>
      <w:r>
        <w:t xml:space="preserve">L'activité professionnelle principale [Principal professional activité] est exercée dans la société de personnes par [Qualifying manager nom]. Son caractère principal et effectif résulte de [Professional activité preuve]. Le caractère principal est démontré par le temps, les responsabilités et les revenus, sans se limiter à une déclaration de la personne.</w:t>
      </w:r>
    </w:p>
    <w:p>
      <w:pPr>
        <w:pStyle w:val="Intertitre"/>
      </w:pPr>
      <w:r>
        <w:t xml:space="preserve"> — choisir une seule variante</w:t>
      </w:r>
    </w:p>
    <w:p>
      <w:pPr>
        <w:pStyle w:val="Variante"/>
      </w:pPr>
      <w:r>
        <w:t xml:space="preserve">Variante : Direction assurée par un signataire source</w:t>
      </w:r>
    </w:p>
    <w:p>
      <w:pPr>
        <w:pStyle w:val="Corps"/>
      </w:pPr>
      <w:r>
        <w:t xml:space="preserve">La fonction est exercée par le signataire de l'engagement source [Source signatory manager nom] selon [Source signatory direction justificatif]. Cette route n'est maintenue que si le texte l'admet pour la période considérée. Le signataire source reste éligible pour la période vérifiée et son maintien est contrôlé après tout changement de fonction ou de société.</w:t>
      </w:r>
    </w:p>
    <w:p>
      <w:pPr>
        <w:pStyle w:val="Variante"/>
      </w:pPr>
      <w:r>
        <w:t xml:space="preserve">Variante : Direction assurée par un bénéficiaire</w:t>
      </w:r>
    </w:p>
    <w:p>
      <w:pPr>
        <w:pStyle w:val="Corps"/>
      </w:pPr>
      <w:r>
        <w:t xml:space="preserve">La fonction est exercée par le bénéficiaire engagé [Bénéficiaire manager nom] selon [Bénéficiaire direction justificatif]. Son engagement, ses titres et sa qualité sont rapprochés de la fonction exercée. Le bénéficiaire engagé est rapproché des titres reçus, de sa nomination et de l'exercice effectif pendant la période requise.</w:t>
      </w:r>
    </w:p>
    <w:p>
      <w:pPr>
        <w:pStyle w:val="Variante"/>
      </w:pPr>
      <w:r>
        <w:t xml:space="preserve">Variante : Remplacement du dirigeant</w:t>
      </w:r>
    </w:p>
    <w:p>
      <w:pPr>
        <w:pStyle w:val="Corps"/>
      </w:pPr>
      <w:r>
        <w:t xml:space="preserve">Le remplacement est documenté par [Direction replacement justificatif] et assure la continuité entre [Replaced manager nom] et [Replacement manager nom]. Les dates et qualités sont contrôlées sans tolérer une période non couverte. Le remplacement est préparé avant la cessation lorsqu'elle est prévisible et toute vacance est datée, analysée et portée au dossier.</w:t>
      </w:r>
    </w:p>
    <w:p>
      <w:pPr>
        <w:pStyle w:val="Intertitre"/>
      </w:pPr>
      <w:r>
        <w:t xml:space="preserve">Clause optionnelle : Direction postérieure au réputé acquis</w:t>
      </w:r>
    </w:p>
    <w:p>
      <w:pPr>
        <w:pStyle w:val="Corps"/>
      </w:pPr>
      <w:r>
        <w:t xml:space="preserve">Dans la voie réputée acquise, la fonction postérieure à la transmission est exercée par un héritier, donataire ou légataire engagé selon [Deemed bénéficiaire direction preuve]. Le seul maintien du donateur à la direction ne suffit pas. Dans cette route, un bénéficiaire doit remplir la condition postérieure; le maintien du donateur ou défunt ne peut s'y substituer.</w:t>
      </w:r>
    </w:p>
    <w:p>
      <w:pPr>
        <w:pStyle w:val="Intertitre"/>
      </w:pPr>
      <w:r>
        <w:t xml:space="preserve">Clause optionnelle : Période de direction après engagement exprès</w:t>
      </w:r>
    </w:p>
    <w:p>
      <w:pPr>
        <w:pStyle w:val="Corps"/>
      </w:pPr>
      <w:r>
        <w:t xml:space="preserve">La condition de direction est suivie jusqu'au terme de l'engagement source et pendant les [Légal direction after transmission années] années suivant la transmission. Les dates [Direction début date] et [Direction end date] sont rapprochées dans [Direction continuity tableau]. Le suivi couvre le terme source et les trois années suivant la transmission, avec preuve continue des nominations et de l'exercice.</w:t>
      </w:r>
    </w:p>
    <w:p>
      <w:pPr>
        <w:pStyle w:val="Intertitre"/>
      </w:pPr>
      <w:r>
        <w:t xml:space="preserve">Clause optionnelle : Période de direction après engagement réputé acquis</w:t>
      </w:r>
    </w:p>
    <w:p>
      <w:pPr>
        <w:pStyle w:val="Corps"/>
      </w:pPr>
      <w:r>
        <w:t xml:space="preserve">Après la transmission fondée sur les conditions réputées acquises, la direction qualifiante exercée par un bénéficiaire est suivie pendant les [Légal direction after transmission années] années requises. Les dates [Direction début date] et [Direction end date] sont rapprochées dans [Direction continuity tableau]. Le calendrier du réputé acquis part de la transmission et contrôle la direction du bénéficiaire pendant toute la durée officielle requise.</w:t>
      </w:r>
    </w:p>
    <w:p>
      <w:pPr>
        <w:pStyle w:val="Intertitre"/>
      </w:pPr>
      <w:r>
        <w:t xml:space="preserve"> — choisir une seule variante</w:t>
      </w:r>
    </w:p>
    <w:p>
      <w:pPr>
        <w:pStyle w:val="Variante"/>
      </w:pPr>
      <w:r>
        <w:t xml:space="preserve">Variante : Absence d'opération projetée</w:t>
      </w:r>
    </w:p>
    <w:p>
      <w:pPr>
        <w:pStyle w:val="Corps"/>
      </w:pPr>
      <w:r>
        <w:t xml:space="preserve">Aucune opération affectant les titres engagés, la société ou la chaîne d'interposition n'est projetée selon [No event confirmation]. Le suivi demeure actif jusqu'au terme. Cette confirmation est renouvelée avant chaque attestation et toute opération nouvelle déclenche une analyse préalable documentée.</w:t>
      </w:r>
    </w:p>
    <w:p>
      <w:pPr>
        <w:pStyle w:val="Variante"/>
      </w:pPr>
      <w:r>
        <w:t xml:space="preserve">Variante : Donation ultérieure à un descendant</w:t>
      </w:r>
    </w:p>
    <w:p>
      <w:pPr>
        <w:pStyle w:val="Corps"/>
      </w:pPr>
      <w:r>
        <w:t xml:space="preserve">La donation projetée au profit de [Descendant donee identité] est décrite dans [Descendant donation justificatif]. Le descendant reprend l'engagement jusqu'à son terme et toutes les conditions de l'exception sont contrôlées avant signature. Le descendant reprend exactement le lot et le reliquat de durée; l'acte, les signatures et le registre sont mis à jour à la même date.</w:t>
      </w:r>
    </w:p>
    <w:p>
      <w:pPr>
        <w:pStyle w:val="Variante"/>
      </w:pPr>
      <w:r>
        <w:t xml:space="preserve">Variante : Apport des titres engagés</w:t>
      </w:r>
    </w:p>
    <w:p>
      <w:pPr>
        <w:pStyle w:val="Corps"/>
      </w:pPr>
      <w:r>
        <w:t xml:space="preserve">L'apport décrit dans [Contribution transaction justificatif] est rapproché de la matrice [Contribution compliance matrix]. La composition de l'actif de la société bénéficiaire et sa détention respectent les seuils légaux de [Légal contribution actif threshold] % et [Légal contribution propriété threshold] %. Les actifs, titres reçus, seuils de détention, direction et conservation de la bénéficiaire de l'apport sont suivis jusqu'au terme.</w:t>
      </w:r>
    </w:p>
    <w:p>
      <w:pPr>
        <w:pStyle w:val="Variante"/>
      </w:pPr>
      <w:r>
        <w:t xml:space="preserve">Variante : Fusion, scission ou opération assimilée</w:t>
      </w:r>
    </w:p>
    <w:p>
      <w:pPr>
        <w:pStyle w:val="Corps"/>
      </w:pPr>
      <w:r>
        <w:t xml:space="preserve">L'opération [Reorganization type] décrite dans [Reorganization justificatif] est contrôlée dans [Reorganization continuity matrix]. Les titres reçus en contrepartie sont conservés jusqu'au terme sans élargir l'exception au-delà de ses conditions. Le tableau rapproche titres remis et reçus, parité, dates et droits pour démontrer la continuité sans étendre l'exception.</w:t>
      </w:r>
    </w:p>
    <w:p>
      <w:pPr>
        <w:pStyle w:val="Variante"/>
      </w:pPr>
      <w:r>
        <w:t xml:space="preserve">Variante : Annulation ou liquidation</w:t>
      </w:r>
    </w:p>
    <w:p>
      <w:pPr>
        <w:pStyle w:val="Corps"/>
      </w:pPr>
      <w:r>
        <w:t xml:space="preserve">L'annulation ou la liquidation est établie par [Cancellation or liquidation preuve]. Ses conditions et conséquences sont retracées dans [Cancellation consequence justificatif] avant toute conclusion sur le maintien de l'exonération. La cause, la décision, la date et le nombre de titres annulés sont distingués d'une cession volontaire ou d'une réduction ordinaire.</w:t>
      </w:r>
    </w:p>
    <w:p>
      <w:pPr>
        <w:pStyle w:val="Variante"/>
      </w:pPr>
      <w:r>
        <w:t xml:space="preserve">Variante : Partage des titres indivis</w:t>
      </w:r>
    </w:p>
    <w:p>
      <w:pPr>
        <w:pStyle w:val="Corps"/>
      </w:pPr>
      <w:r>
        <w:t xml:space="preserve">Le partage projeté est décrit dans [Later partition justificatif] et attribue les titres selon [Partition engagement carryover]. L'attributaire effectif poursuit l'engagement restant sans rupture de traçabilité. L'attributaire effectif reprend l'engagement sur les titres reçus et le partage conserve une piste complète depuis l'indivision initiale.</w:t>
      </w:r>
    </w:p>
    <w:p>
      <w:pPr>
        <w:pStyle w:val="Variante"/>
      </w:pPr>
      <w:r>
        <w:t xml:space="preserve">Variante : Donation-partage avec soulte</w:t>
      </w:r>
    </w:p>
    <w:p>
      <w:pPr>
        <w:pStyle w:val="Corps"/>
      </w:pPr>
      <w:r>
        <w:t xml:space="preserve">La donation-partage, les droits théoriques, la soulte et les attributions effectives sont décrits dans [Donation partition tableau]. L'engagement individuel est souscrit par chaque bénéficiaire effectif des titres, indépendamment de la répartition théorique utilisée pour liquider les droits. Les attributions effectives, la soulte et les engagements signés sont rapprochés sans confondre droits théoriques et titres réellement reçus.</w:t>
      </w:r>
    </w:p>
    <w:p>
      <w:pPr>
        <w:pStyle w:val="Variante"/>
      </w:pPr>
      <w:r>
        <w:t xml:space="preserve">Variante : Transfert à un associé de l'engagement source</w:t>
      </w:r>
    </w:p>
    <w:p>
      <w:pPr>
        <w:pStyle w:val="Corps"/>
      </w:pPr>
      <w:r>
        <w:t xml:space="preserve">Le transfert projeté à [Committed associate identité] est analysé dans [Associate transfer consequence matrix]. Le document n'affirme pas qu'il est neutre : la remise en cause éventuelle est appréciée titre par titre et bénéficiaire par bénéficiaire. La conséquence est calculée par bénéficiaire et par titre, sans neutralité automatique fondée sur la seule qualité d'associé source.</w:t>
      </w:r>
    </w:p>
    <w:p>
      <w:pPr>
        <w:pStyle w:val="Intertitre"/>
      </w:pPr>
      <w:r>
        <w:t xml:space="preserve">Suivi des titres</w:t>
      </w:r>
    </w:p>
    <w:p>
      <w:pPr>
        <w:pStyle w:val="Corps"/>
      </w:pPr>
      <w:r>
        <w:t xml:space="preserve">Le registre [Individuel titre tracking register] retrace les titres engagés, leur titulaire, les droits attachés et tout événement. Il est rapproché périodiquement du registre de la société et des sociétés interposées. Chaque mouvement comporte sa pièce, sa date, son auteur, le nombre de titres et son incidence sur la durée et les obligations suivies.</w:t>
      </w:r>
    </w:p>
    <w:p>
      <w:pPr>
        <w:pStyle w:val="Intertitre"/>
      </w:pPr>
      <w:r>
        <w:t xml:space="preserve">Suivi de l'activité et des actifs</w:t>
      </w:r>
    </w:p>
    <w:p>
      <w:pPr>
        <w:pStyle w:val="Corps"/>
      </w:pPr>
      <w:r>
        <w:t xml:space="preserve">Le contrôle [Activité and actif review tableau] documente la continuité de l'activité principale, les actifs exclus et la fraction de valeur jusqu'au terme. Toute anomalie déclenche une revue juridique et fiscale. Les revues d'activité et d'actifs sont datées, signées et rapprochées des comptes; une anomalie déclenche une correction ou une escalade.</w:t>
      </w:r>
    </w:p>
    <w:p>
      <w:pPr>
        <w:pStyle w:val="Intertitre"/>
      </w:pPr>
      <w:r>
        <w:t xml:space="preserve">Attestation au jour de la transmission</w:t>
      </w:r>
    </w:p>
    <w:p>
      <w:pPr>
        <w:pStyle w:val="Corps"/>
      </w:pPr>
      <w:r>
        <w:t xml:space="preserve">L'attestation de la société certifiant le respect des conditions jusqu'au jour de la transmission est identifiée par [Transmission attestation référence] et jointe selon [Transmission attestation tableau]. La société certifie uniquement les faits qu'elle peut vérifier à partir du registre, des seuils, de l'activité et des événements intervenus.</w:t>
      </w:r>
    </w:p>
    <w:p>
      <w:pPr>
        <w:pStyle w:val="Intertitre"/>
      </w:pPr>
      <w:r>
        <w:t xml:space="preserve">Attestation sur demande</w:t>
      </w:r>
    </w:p>
    <w:p>
      <w:pPr>
        <w:pStyle w:val="Corps"/>
      </w:pPr>
      <w:r>
        <w:t xml:space="preserve">Le bénéficiaire sollicite au besoin l'attestation de la société, à remettre dans les [Légal société attestation days] jours, et répond à la demande de l'administration dans les [Légal attestation months] mois selon [Requested attestation tableau]. Les demandes, réponses et transmissions à l'administration sont horodatées et conservées avec la preuve de respect des délais résolus.</w:t>
      </w:r>
    </w:p>
    <w:p>
      <w:pPr>
        <w:pStyle w:val="Intertitre"/>
      </w:pPr>
      <w:r>
        <w:t xml:space="preserve">Attestation au terme</w:t>
      </w:r>
    </w:p>
    <w:p>
      <w:pPr>
        <w:pStyle w:val="Corps"/>
      </w:pPr>
      <w:r>
        <w:t xml:space="preserve">Dans les [Légal attestation months] mois suivant le terme de l'engagement individuel, le bénéficiaire adresse l'attestation finale selon [Final attestation tableau]. La preuve d'envoi est conservée. L'attestation finale couvre l'engagement individuel, la direction, l'activité, les actifs et la chaîne jusqu'à la date exacte du terme.</w:t>
      </w:r>
    </w:p>
    <w:p>
      <w:pPr>
        <w:pStyle w:val="Intertitre"/>
      </w:pPr>
      <w:r>
        <w:t xml:space="preserve">Clause optionnelle : Attestations de la chaîne d'interposition</w:t>
      </w:r>
    </w:p>
    <w:p>
      <w:pPr>
        <w:pStyle w:val="Corps"/>
      </w:pPr>
      <w:r>
        <w:t xml:space="preserve">Chaque société de la chaîne fournit les attestations relatives aux titres et participations conservés selon [Interposée attestation tableau]. Les périodes couvertes correspondent à toutes les phases légalement requises puis à l'engagement individuel. Les sociétés interposées utilisent les mêmes dates et mouvements que les registres de la cible et du bénéficiaire pour éviter toute discordance.</w:t>
      </w:r>
    </w:p>
    <w:p>
      <w:pPr>
        <w:pStyle w:val="Intertitre"/>
      </w:pPr>
      <w:r>
        <w:t xml:space="preserve">Dossier de preuve</w:t>
      </w:r>
    </w:p>
    <w:p>
      <w:pPr>
        <w:pStyle w:val="Corps"/>
      </w:pPr>
      <w:r>
        <w:t xml:space="preserve">Le dossier [Dutreil preuve file référence] conserve l'acte de transmission, l'engagement source ou les conditions réputées acquises, les attestations, registres, calculs, analyses d'activité, fonctions de direction, pouvoirs, déclarations et preuves de dépôt. Chaque preuve est indexée par condition, période, auteur et version; les pièces remplacées restent conservées pour expliquer l'historique.</w:t>
      </w:r>
    </w:p>
    <w:p>
      <w:pPr>
        <w:pStyle w:val="Intertitre"/>
      </w:pPr>
      <w:r>
        <w:t xml:space="preserve">Clause optionnelle : Formalités de la donation</w:t>
      </w:r>
    </w:p>
    <w:p>
      <w:pPr>
        <w:pStyle w:val="Corps"/>
      </w:pPr>
      <w:r>
        <w:t xml:space="preserve">L'engagement est incorporé à l'acte de donation et rapproché de son dépôt fiscal selon [Donation tax filing justificatif]. Les annexes exigées sont identifiées dans le bordereau. La version signée et ses annexes correspondent aux éléments déclarés; la preuve de dépôt et toute demande de régularisation sont conservées.</w:t>
      </w:r>
    </w:p>
    <w:p>
      <w:pPr>
        <w:pStyle w:val="Intertitre"/>
      </w:pPr>
      <w:r>
        <w:t xml:space="preserve">Clause optionnelle : Formalités de la succession</w:t>
      </w:r>
    </w:p>
    <w:p>
      <w:pPr>
        <w:pStyle w:val="Corps"/>
      </w:pPr>
      <w:r>
        <w:t xml:space="preserve">L’engagement figure dans ou au pied de la déclaration de succession selon [Succession filing justificatif]. Les titres, bénéficiaires et pièces justificatives nécessaires sont joints à la déclaration. La déclaration reprend les titres, bénéficiaires, valeurs et engagements exacts, avec les annexes correspondant à la route successorale choisie.</w:t>
      </w:r>
    </w:p>
    <w:p>
      <w:pPr>
        <w:pStyle w:val="Intertitre"/>
      </w:pPr>
      <w:r>
        <w:t xml:space="preserve">Clause optionnelle : Enregistrement de l'acte séparé</w:t>
      </w:r>
    </w:p>
    <w:p>
      <w:pPr>
        <w:pStyle w:val="Corps"/>
      </w:pPr>
      <w:r>
        <w:t xml:space="preserve">L'acte séparé est présenté à l'enregistrement selon [Separate act registration justificatif] et relié à la déclaration de succession [Succession declaration référence]. La preuve de cette formalité est annexée. L'enregistrement porte sur la version définitive et son rattachement à la succession est démontré par des références croisées concordantes.</w:t>
      </w:r>
    </w:p>
    <w:p>
      <w:pPr>
        <w:pStyle w:val="Intertitre"/>
      </w:pPr>
      <w:r>
        <w:t xml:space="preserve">Clause optionnelle : Dépôt du don manuel</w:t>
      </w:r>
    </w:p>
    <w:p>
      <w:pPr>
        <w:pStyle w:val="Corps"/>
      </w:pPr>
      <w:r>
        <w:t xml:space="preserve">La déclaration officielle [Légal manual donation formulaire numéro], l'engagement source ou les justificatifs des conditions réputées acquises, le présent engagement individuel et l'attestation de la société sont réunis dans [Manual donation filing tableau]. La preuve du dépôt est conservée sous [Manual donation filing justificatif]. Le bordereau identifie chaque pièce et sa version; un dépôt incomplet ou incohérent est traité avant toute présentation du dossier.</w:t>
      </w:r>
    </w:p>
    <w:p>
      <w:pPr>
        <w:pStyle w:val="Intertitre"/>
      </w:pPr>
      <w:r>
        <w:t xml:space="preserve">Annexes</w:t>
      </w:r>
    </w:p>
    <w:p>
      <w:pPr>
        <w:pStyle w:val="Corps"/>
      </w:pPr>
      <w:r>
        <w:t xml:space="preserve">Sont annexés les documents recensés dans [Annexe tableau], comprenant l'acte de transmission, l'engagement source ou les preuves du réputé acquis, les attestations, l'identification des titres, les pouvoirs, les calculs, les statuts et les justificatifs utiles. Les annexes sont datées, numérotées et rattachées au même acte; l'absence d'une pièce déterminante bloque la branche qui en dépend.</w:t>
      </w:r>
    </w:p>
    <w:p>
      <w:pPr>
        <w:pStyle w:val="Intertitre"/>
      </w:pPr>
      <w:r>
        <w:t xml:space="preserve">Défaillance du bénéficiaire</w:t>
      </w:r>
    </w:p>
    <w:p>
      <w:pPr>
        <w:pStyle w:val="Corps"/>
      </w:pPr>
      <w:r>
        <w:t xml:space="preserve">Toute cession, donation, défaut de conservation ou autre rupture est signalé selon [Individuel breach justificatif]. Ses conséquences sont analysées uniquement pour le bénéficiaire et les titres concernés, sous réserve des liens avec les autres conditions. Le dossier distingue les titres concernés, la date, l'opération et la personne défaillante avant d'évaluer une conséquence ou une régularisation.</w:t>
      </w:r>
    </w:p>
    <w:p>
      <w:pPr>
        <w:pStyle w:val="Intertitre"/>
      </w:pPr>
      <w:r>
        <w:t xml:space="preserve">Clause optionnelle : Autonomie des autres engagements</w:t>
      </w:r>
    </w:p>
    <w:p>
      <w:pPr>
        <w:pStyle w:val="Corps"/>
      </w:pPr>
      <w:r>
        <w:t xml:space="preserve">La situation des autres bénéficiaires est retracée dans [Other bénéficiaire compliance tableau]. Aucune remise en cause collective n'est affirmée sans fondement propre à leur engagement. Les autres engagements demeurent autonomes et sont contrôlés sur leurs propres titres, événements et conditions sans remise en cause automatique.</w:t>
      </w:r>
    </w:p>
    <w:p>
      <w:pPr>
        <w:pStyle w:val="Intertitre"/>
      </w:pPr>
      <w:r>
        <w:t xml:space="preserve">Clause optionnelle : Rupture de l'engagement source</w:t>
      </w:r>
    </w:p>
    <w:p>
      <w:pPr>
        <w:pStyle w:val="Corps"/>
      </w:pPr>
      <w:r>
        <w:t xml:space="preserve">Toute rupture de l'engagement source avant son terme est analysée dans [Source breach consequence justificatif]. Le présent engagement individuel ne répare pas rétroactivement une condition source défaillante. Une rupture source est analysée séparément et ne peut être réparée rétroactivement par le seul respect ultérieur de l'engagement individuel.</w:t>
      </w:r>
    </w:p>
    <w:p>
      <w:pPr>
        <w:pStyle w:val="Intertitre"/>
      </w:pPr>
      <w:r>
        <w:t xml:space="preserve">Rupture de la condition de direction</w:t>
      </w:r>
    </w:p>
    <w:p>
      <w:pPr>
        <w:pStyle w:val="Corps"/>
      </w:pPr>
      <w:r>
        <w:t xml:space="preserve">Toute vacance, cessation ou qualification incertaine de la fonction est documentée dans [Direction breach justificatif]. Une solution de remplacement n'est retenue qu'après contrôle de la continuité et de l'éligibilité. Le dossier recherche immédiatement une continuité admissible, documente les dates et réserve toute conclusion jusqu'à validation de la solution.</w:t>
      </w:r>
    </w:p>
    <w:p>
      <w:pPr>
        <w:pStyle w:val="Intertitre"/>
      </w:pPr>
      <w:r>
        <w:t xml:space="preserve">Clause optionnelle : Souscription et signature</w:t>
      </w:r>
    </w:p>
    <w:p>
      <w:pPr>
        <w:pStyle w:val="Corps"/>
      </w:pPr>
      <w:r>
        <w:t xml:space="preserve">Fait à [Signature place], le [Signature date]. Chaque bénéficiaire ou représentant autorisé figurant dans [Bénéficiaire signature tableau] signe l'engagement correspondant aux titres qui lui sont attribués. Les exemplaires séparés ou signatures électroniques sont rattachés à un texte, un tableau de titres et des annexes identiques, puis conservés avec les pouvoirs.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