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RÉCLAMATION CONTENTIEUSE FISCALE IS, IR ET TVA</w:t>
      </w:r>
    </w:p>
    <w:p>
      <w:pPr>
        <w:pStyle w:val="Intertitre"/>
      </w:pPr>
      <w:r>
        <w:t xml:space="preserve">Réclamation contentieuse fiscale</w:t>
      </w:r>
    </w:p>
    <w:p>
      <w:pPr>
        <w:pStyle w:val="Corps"/>
      </w:pPr>
      <w:r>
        <w:t xml:space="preserve">Réclamation contentieuse de [Claimant display name] relative à [Claim short title].</w:t>
      </w:r>
    </w:p>
    <w:p>
      <w:pPr>
        <w:pStyle w:val="Corps"/>
      </w:pPr>
      <w:r>
        <w:t xml:space="preserve">La réclamation identifie l'impôt, la période, l'article de rôle ou l'avis, le service compétent et la décision sollicitée. Elle distingue les impositions initiales, supplémentaires, intérêts et pénalités afin que l'objet ne puisse être confondu avec une simple demande d'information.</w:t>
      </w:r>
    </w:p>
    <w:p>
      <w:pPr>
        <w:pStyle w:val="Intertitre"/>
      </w:pPr>
      <w:r>
        <w:t xml:space="preserve">Service compétent</w:t>
      </w:r>
    </w:p>
    <w:p>
      <w:pPr>
        <w:pStyle w:val="Corps"/>
      </w:pPr>
      <w:r>
        <w:t xml:space="preserve">À l'attention de [Competent tax service name], [Competent tax service address]. Cette indication détermine le destinataire et le périmètre de la demande formelle présentée à l'administration fiscale.</w:t>
      </w:r>
    </w:p>
    <w:p>
      <w:pPr>
        <w:pStyle w:val="Corps"/>
      </w:pPr>
      <w:r>
        <w:t xml:space="preserve">La compétence est rapprochée du lieu d'imposition, du service ayant établi l'assiette et, le cas échéant, du service spécialisé auteur du contrôle.</w:t>
      </w:r>
    </w:p>
    <w:p>
      <w:pPr>
        <w:pStyle w:val="Intertitre"/>
      </w:pPr>
      <w:r>
        <w:t xml:space="preserve">Objet</w:t>
      </w:r>
    </w:p>
    <w:p>
      <w:pPr>
        <w:pStyle w:val="Corps"/>
      </w:pPr>
      <w:r>
        <w:t xml:space="preserve">Objet : réclamation contentieuse relative à [Contested tax label], période [Contested tax period], référence [Tax assessment référence] — dossier [Dossier référence].</w:t>
      </w:r>
    </w:p>
    <w:p>
      <w:pPr>
        <w:pStyle w:val="Corps"/>
      </w:pPr>
      <w:r>
        <w:t xml:space="preserve">Pour chaque chef contesté, le contribuable expose le montant, la base, la période et le motif de droit ou de fait. Les demandes de décharge, réduction, restitution ou sursis sont formulées séparément et chiffrées selon les pièces disponibles.</w:t>
      </w:r>
    </w:p>
    <w:p>
      <w:pPr>
        <w:pStyle w:val="Corps"/>
      </w:pPr>
      <w:r>
        <w:t xml:space="preserve">Les moyens sont ordonnés par chef et distinguent les erreurs de fait, de calcul, de qualification et de procédure. Chaque conséquence chiffrée est rapprochée d'un tableau ou justificatif, et les éléments subsidiaires sont présentés comme tels sans rendre la demande principale ambiguë.</w:t>
      </w:r>
    </w:p>
    <w:p>
      <w:pPr>
        <w:pStyle w:val="Corps"/>
      </w:pPr>
      <w:r>
        <w:t xml:space="preserve">Les demandes accessoires, intérêts moratoires ou restitutions consécutives sont distingués de la contestation de l'assiette et motivés par leur propre fondement.</w:t>
      </w:r>
    </w:p>
    <w:p>
      <w:pPr>
        <w:pStyle w:val="Corps"/>
      </w:pPr>
      <w:r>
        <w:t xml:space="preserve">Le total contesté est rapproché du titre fiscal, des dégrèvements déjà accordés et du tableau de calcul joint à la réclamation.</w:t>
      </w:r>
    </w:p>
    <w:p>
      <w:pPr>
        <w:pStyle w:val="Intertitre"/>
      </w:pPr>
      <w:r>
        <w:t xml:space="preserve"> — choisir une seule variante</w:t>
      </w:r>
    </w:p>
    <w:p>
      <w:pPr>
        <w:pStyle w:val="Variante"/>
      </w:pPr>
      <w:r>
        <w:t xml:space="preserve">Variante : Réclamant personne physique</w:t>
      </w:r>
    </w:p>
    <w:p>
      <w:pPr>
        <w:pStyle w:val="Corps"/>
      </w:pPr>
      <w:r>
        <w:t xml:space="preserve">Le réclamant est [Claimant full name], domicilié [Claimant address], identifié fiscalement sous [Claimant tax identifier].</w:t>
      </w:r>
    </w:p>
    <w:p>
      <w:pPr>
        <w:pStyle w:val="Corps"/>
      </w:pPr>
      <w:r>
        <w:t xml:space="preserve">Ses nom, domicile, identifiant et qualité de redevable sont repris des avis et déclarations joints, sans donnée d'identité déduite ou préremplie.</w:t>
      </w:r>
    </w:p>
    <w:p>
      <w:pPr>
        <w:pStyle w:val="Variante"/>
      </w:pPr>
      <w:r>
        <w:t xml:space="preserve">Variante : Réclamant personne morale</w:t>
      </w:r>
    </w:p>
    <w:p>
      <w:pPr>
        <w:pStyle w:val="Corps"/>
      </w:pPr>
      <w:r>
        <w:t xml:space="preserve">Le réclamant est [Claimant legal name], [Claimant legal form], dont le siège est situé [Claimant registered office], immatriculé sous [Claimant registration number] et identifié fiscalement sous [Claimant tax identifier]. Il est représenté par [Claimant representative name], en qualité de [Claimant representative capacity], habilité selon [Claimant authority record].</w:t>
      </w:r>
    </w:p>
    <w:p>
      <w:pPr>
        <w:pStyle w:val="Intertitre"/>
      </w:pPr>
      <w:r>
        <w:t xml:space="preserve"> — choisir une seule variante</w:t>
      </w:r>
    </w:p>
    <w:p>
      <w:pPr>
        <w:pStyle w:val="Variante"/>
      </w:pPr>
      <w:r>
        <w:t xml:space="preserve">Variante : Réclamation présentée directement</w:t>
      </w:r>
    </w:p>
    <w:p>
      <w:pPr>
        <w:pStyle w:val="Corps"/>
      </w:pPr>
      <w:r>
        <w:t xml:space="preserve">Le réclamant présente lui-même la réclamation et désigne comme contact [Claimant contact name], joignable à [Claimant contact details].</w:t>
      </w:r>
    </w:p>
    <w:p>
      <w:pPr>
        <w:pStyle w:val="Corps"/>
      </w:pPr>
      <w:r>
        <w:t xml:space="preserve">Les coordonnées servent uniquement au suivi de cette réclamation ; le pouvoir de signer et la qualité du réclamant sont vérifiés séparément.</w:t>
      </w:r>
    </w:p>
    <w:p>
      <w:pPr>
        <w:pStyle w:val="Variante"/>
      </w:pPr>
      <w:r>
        <w:t xml:space="preserve">Variante : Réclamation présentée par mandataire</w:t>
      </w:r>
    </w:p>
    <w:p>
      <w:pPr>
        <w:pStyle w:val="Corps"/>
      </w:pPr>
      <w:r>
        <w:t xml:space="preserve">La réclamation est présentée pour le compte du réclamant par [Agent name], [Agent capacity], domicilié professionnellement [Agent address], sur le fondement du mandat [Agent mandate référence].</w:t>
      </w:r>
    </w:p>
    <w:p>
      <w:pPr>
        <w:pStyle w:val="Corps"/>
      </w:pPr>
      <w:r>
        <w:t xml:space="preserve">Le mandat identifie l'impôt, les périodes et les actes autorisés ; toute dispense légale de mandat est justifiée par la qualité professionnelle invoquée.</w:t>
      </w:r>
    </w:p>
    <w:p>
      <w:pPr>
        <w:pStyle w:val="Intertitre"/>
      </w:pPr>
      <w:r>
        <w:t xml:space="preserve">Clause optionnelle : Élection de domicile en France</w:t>
      </w:r>
    </w:p>
    <w:p>
      <w:pPr>
        <w:pStyle w:val="Corps"/>
      </w:pPr>
      <w:r>
        <w:t xml:space="preserve">Le réclamant domicilié hors de France élit domicile auprès de [French elected domicile name], [French elected domicile address], pour la présente procédure.</w:t>
      </w:r>
    </w:p>
    <w:p>
      <w:pPr>
        <w:pStyle w:val="Corps"/>
      </w:pPr>
      <w:r>
        <w:t xml:space="preserve">Cette élection précise le destinataire des notifications en France et demeure limitée à la procédure, sans modifier le domicile fiscal allégué.</w:t>
      </w:r>
    </w:p>
    <w:p>
      <w:pPr>
        <w:pStyle w:val="Intertitre"/>
      </w:pPr>
      <w:r>
        <w:t xml:space="preserve"> — choisir une seule variante</w:t>
      </w:r>
    </w:p>
    <w:p>
      <w:pPr>
        <w:pStyle w:val="Variante"/>
      </w:pPr>
      <w:r>
        <w:t xml:space="preserve">Variante : Impôt sur les sociétés</w:t>
      </w:r>
    </w:p>
    <w:p>
      <w:pPr>
        <w:pStyle w:val="Corps"/>
      </w:pPr>
      <w:r>
        <w:t xml:space="preserve">La réclamation porte sur l'impôt sur les sociétés dû par [Claimant legal name] au titre de l'exercice [Contested tax period].</w:t>
      </w:r>
    </w:p>
    <w:p>
      <w:pPr>
        <w:pStyle w:val="Corps"/>
      </w:pPr>
      <w:r>
        <w:t xml:space="preserve">L'exercice, le résultat déclaré, les rehaussements, déficits, crédits et acomptes sont distingués afin de rattacher chaque moyen à un chef chiffré.</w:t>
      </w:r>
    </w:p>
    <w:p>
      <w:pPr>
        <w:pStyle w:val="Variante"/>
      </w:pPr>
      <w:r>
        <w:t xml:space="preserve">Variante : Impôt sur le revenu</w:t>
      </w:r>
    </w:p>
    <w:p>
      <w:pPr>
        <w:pStyle w:val="Corps"/>
      </w:pPr>
      <w:r>
        <w:t xml:space="preserve">La réclamation porte sur l'impôt sur le revenu du foyer [Tax household identity] au titre de l'année [Contested tax period].</w:t>
      </w:r>
    </w:p>
    <w:p>
      <w:pPr>
        <w:pStyle w:val="Corps"/>
      </w:pPr>
      <w:r>
        <w:t xml:space="preserve">Le foyer, l'année d'imposition, les catégories de revenus, charges, déficits, réductions, crédits et prélèvements sont traités séparément dans les moyens.</w:t>
      </w:r>
    </w:p>
    <w:p>
      <w:pPr>
        <w:pStyle w:val="Variante"/>
      </w:pPr>
      <w:r>
        <w:t xml:space="preserve">Variante : TVA collectée</w:t>
      </w:r>
    </w:p>
    <w:p>
      <w:pPr>
        <w:pStyle w:val="Corps"/>
      </w:pPr>
      <w:r>
        <w:t xml:space="preserve">La réclamation porte sur la taxe sur la valeur ajoutée collectée au titre de [Vat output operations] pour la période [Contested tax period].</w:t>
      </w:r>
    </w:p>
    <w:p>
      <w:pPr>
        <w:pStyle w:val="Corps"/>
      </w:pPr>
      <w:r>
        <w:t xml:space="preserve">Les opérations, leur territorialité, le fait générateur, l'exigibilité, la base, le taux, la facturation et la déclaration sont examinés chef par chef.</w:t>
      </w:r>
    </w:p>
    <w:p>
      <w:pPr>
        <w:pStyle w:val="Variante"/>
      </w:pPr>
      <w:r>
        <w:t xml:space="preserve">Variante : TVA déductible ou crédit de TVA</w:t>
      </w:r>
    </w:p>
    <w:p>
      <w:pPr>
        <w:pStyle w:val="Corps"/>
      </w:pPr>
      <w:r>
        <w:t xml:space="preserve">La réclamation porte sur le droit à déduction ou au remboursement de la taxe ayant grevé [Vat input transactions] pour la période [Contested tax period].</w:t>
      </w:r>
    </w:p>
    <w:p>
      <w:pPr>
        <w:pStyle w:val="Corps"/>
      </w:pPr>
      <w:r>
        <w:t xml:space="preserve">Chaque dépense est rapprochée de sa facture, de l'exigibilité chez le fournisseur, de son affectation professionnelle, du coefficient applicable et de la période de déduction.</w:t>
      </w:r>
    </w:p>
    <w:p>
      <w:pPr>
        <w:pStyle w:val="Intertitre"/>
      </w:pPr>
      <w:r>
        <w:t xml:space="preserve"> — choisir une seule variante</w:t>
      </w:r>
    </w:p>
    <w:p>
      <w:pPr>
        <w:pStyle w:val="Variante"/>
      </w:pPr>
      <w:r>
        <w:t xml:space="preserve">Variante : Imposition établie par rôle</w:t>
      </w:r>
    </w:p>
    <w:p>
      <w:pPr>
        <w:pStyle w:val="Corps"/>
      </w:pPr>
      <w:r>
        <w:t xml:space="preserve">L'imposition a été mise en recouvrement par le rôle [Role référence] le [Role collection date]. L'avis d'imposition est référencé [Assessment notice référence].</w:t>
      </w:r>
    </w:p>
    <w:p>
      <w:pPr>
        <w:pStyle w:val="Corps"/>
      </w:pPr>
      <w:r>
        <w:t xml:space="preserve">La date de mise en recouvrement, distincte de la réception de l'avis, est retenue et justifiée pour calculer le terme de recevabilité.</w:t>
      </w:r>
    </w:p>
    <w:p>
      <w:pPr>
        <w:pStyle w:val="Variante"/>
      </w:pPr>
      <w:r>
        <w:t xml:space="preserve">Variante : Avis de mise en recouvrement</w:t>
      </w:r>
    </w:p>
    <w:p>
      <w:pPr>
        <w:pStyle w:val="Corps"/>
      </w:pPr>
      <w:r>
        <w:t xml:space="preserve">L'avis de mise en recouvrement [Assessment notice référence] a été notifié le [Assessment notice date] pour les droits et pénalités détaillés ci-dessous.</w:t>
      </w:r>
    </w:p>
    <w:p>
      <w:pPr>
        <w:pStyle w:val="Corps"/>
      </w:pPr>
      <w:r>
        <w:t xml:space="preserve">La notification effective, son contenu, son destinataire et sa preuve de réception sont contrôlés avant de fixer le point de départ du délai.</w:t>
      </w:r>
    </w:p>
    <w:p>
      <w:pPr>
        <w:pStyle w:val="Variante"/>
      </w:pPr>
      <w:r>
        <w:t xml:space="preserve">Variante : Versement sans rôle ni AMR</w:t>
      </w:r>
    </w:p>
    <w:p>
      <w:pPr>
        <w:pStyle w:val="Corps"/>
      </w:pPr>
      <w:r>
        <w:t xml:space="preserve">L'impôt contesté n'a donné lieu ni à un rôle ni à un avis de mise en recouvrement. Le versement de [Paid amount] a été effectué le [Payment date] selon la preuve [Payment evidence référence].</w:t>
      </w:r>
    </w:p>
    <w:p>
      <w:pPr>
        <w:pStyle w:val="Variante"/>
      </w:pPr>
      <w:r>
        <w:t xml:space="preserve">Variante : Événement motivant la réclamation</w:t>
      </w:r>
    </w:p>
    <w:p>
      <w:pPr>
        <w:pStyle w:val="Corps"/>
      </w:pPr>
      <w:r>
        <w:t xml:space="preserve">L'événement [Trigger event description] est survenu le [Trigger event date] et motive la réclamation selon l'analyse de recevabilité [Trigger event admissibility analysis].</w:t>
      </w:r>
    </w:p>
    <w:p>
      <w:pPr>
        <w:pStyle w:val="Corps"/>
      </w:pPr>
      <w:r>
        <w:t xml:space="preserve">Le fait invoqué doit concerner directement le contribuable ou le calcul de l'imposition et produire par lui-même l'effet fiscal allégué.</w:t>
      </w:r>
    </w:p>
    <w:p>
      <w:pPr>
        <w:pStyle w:val="Intertitre"/>
      </w:pPr>
      <w:r>
        <w:t xml:space="preserve"> — choisir une seule variante</w:t>
      </w:r>
    </w:p>
    <w:p>
      <w:pPr>
        <w:pStyle w:val="Variante"/>
      </w:pPr>
      <w:r>
        <w:t xml:space="preserve">Variante : Délai général</w:t>
      </w:r>
    </w:p>
    <w:p>
      <w:pPr>
        <w:pStyle w:val="Corps"/>
      </w:pPr>
      <w:r>
        <w:t xml:space="preserve">La réclamation est présentée au plus tard le [Legal general deadline day month] de l'année résultant de l'ajout de [Legal general deadline year offset] années à l'année du point de départ [Selected deadline start event]. Le calcul détaillé figure dans [Deadline calculation record].</w:t>
      </w:r>
    </w:p>
    <w:p>
      <w:pPr>
        <w:pStyle w:val="Variante"/>
      </w:pPr>
      <w:r>
        <w:t xml:space="preserve">Variante : Délai spécial après rectification</w:t>
      </w:r>
    </w:p>
    <w:p>
      <w:pPr>
        <w:pStyle w:val="Corps"/>
      </w:pPr>
      <w:r>
        <w:t xml:space="preserve">Le réclamant invoque le délai égal au délai de reprise de l'administration à la suite de la rectification notifiée le [Rectification notice date]. Le terme retenu et son fondement figurent dans [Extended deadline calculation record].</w:t>
      </w:r>
    </w:p>
    <w:p>
      <w:pPr>
        <w:pStyle w:val="Corps"/>
      </w:pPr>
      <w:r>
        <w:t xml:space="preserve">La nature du contrôle, la période reprise, le délai de reprise effectivement ouvert à l'administration et son terme sont établis sans extension automatique.</w:t>
      </w:r>
    </w:p>
    <w:p>
      <w:pPr>
        <w:pStyle w:val="Intertitre"/>
      </w:pPr>
      <w:r>
        <w:t xml:space="preserve">Contrôle de la date de dépôt</w:t>
      </w:r>
    </w:p>
    <w:p>
      <w:pPr>
        <w:pStyle w:val="Corps"/>
      </w:pPr>
      <w:r>
        <w:t xml:space="preserve">La réclamation est déposée le [Claim filing date] selon le canal [Claim filing channel] et la preuve de réception [Claim receipt référence]. La comparaison avec le terme calculé est consignée dans [Filing deadline control].</w:t>
      </w:r>
    </w:p>
    <w:p>
      <w:pPr>
        <w:pStyle w:val="Intertitre"/>
      </w:pPr>
      <w:r>
        <w:t xml:space="preserve">Mentions et pièces de recevabilité</w:t>
      </w:r>
    </w:p>
    <w:p>
      <w:pPr>
        <w:pStyle w:val="Corps"/>
      </w:pPr>
      <w:r>
        <w:t xml:space="preserve">La réclamation identifie l'imposition, expose les moyens, formule les conclusions, porte la signature requise et comporte [Mandatory tax title copy]. Toute régularisation de signature doit intervenir dans le délai de [Legal signature cure days] jours après invitation de l'administration.</w:t>
      </w:r>
    </w:p>
    <w:p>
      <w:pPr>
        <w:pStyle w:val="Intertitre"/>
      </w:pPr>
      <w:r>
        <w:t xml:space="preserve"> — choisir une seule variante</w:t>
      </w:r>
    </w:p>
    <w:p>
      <w:pPr>
        <w:pStyle w:val="Variante"/>
      </w:pPr>
      <w:r>
        <w:t xml:space="preserve">Variante : Droits contestés</w:t>
      </w:r>
    </w:p>
    <w:p>
      <w:pPr>
        <w:pStyle w:val="Corps"/>
      </w:pPr>
      <w:r>
        <w:t xml:space="preserve">La contestation porte sur les droits en principal d'un montant de [Contested rights amount] et sur les bases [Contested tax base description].</w:t>
      </w:r>
    </w:p>
    <w:p>
      <w:pPr>
        <w:pStyle w:val="Corps"/>
      </w:pPr>
      <w:r>
        <w:t xml:space="preserve">Le tableau de chiffrage indique, pour chaque chef, la base initiale, la base revendiquée, le taux, les droits correspondants et l'écart demandé.</w:t>
      </w:r>
    </w:p>
    <w:p>
      <w:pPr>
        <w:pStyle w:val="Variante"/>
      </w:pPr>
      <w:r>
        <w:t xml:space="preserve">Variante : Pénalités seules</w:t>
      </w:r>
    </w:p>
    <w:p>
      <w:pPr>
        <w:pStyle w:val="Corps"/>
      </w:pPr>
      <w:r>
        <w:t xml:space="preserve">La contestation porte exclusivement sur les pénalités de [Contested penalties amount] et intérêts de [Contested interest amount] identifiés dans [Penalty assessment schedule].</w:t>
      </w:r>
    </w:p>
    <w:p>
      <w:pPr>
        <w:pStyle w:val="Corps"/>
      </w:pPr>
      <w:r>
        <w:t xml:space="preserve">Chaque sanction est identifiée par son fondement, son taux, son assiette, sa période et son montant, sans inclure une pénalité non visée par le titre.</w:t>
      </w:r>
    </w:p>
    <w:p>
      <w:pPr>
        <w:pStyle w:val="Variante"/>
      </w:pPr>
      <w:r>
        <w:t xml:space="preserve">Variante : Droits et pénalités</w:t>
      </w:r>
    </w:p>
    <w:p>
      <w:pPr>
        <w:pStyle w:val="Corps"/>
      </w:pPr>
      <w:r>
        <w:t xml:space="preserve">La contestation porte sur les droits de [Contested rights amount], les pénalités de [Contested penalties amount] et les intérêts de [Contested interest amount], détaillés dans [Assessment component schedule].</w:t>
      </w:r>
    </w:p>
    <w:p>
      <w:pPr>
        <w:pStyle w:val="Corps"/>
      </w:pPr>
      <w:r>
        <w:t xml:space="preserve">Les droits et chaque catégorie de pénalité font l'objet de colonnes et de conclusions distinctes afin d'éviter toute compensation ou double demande.</w:t>
      </w:r>
    </w:p>
    <w:p>
      <w:pPr>
        <w:pStyle w:val="Intertitre"/>
      </w:pPr>
      <w:r>
        <w:t xml:space="preserve"> — choisir une seule variante</w:t>
      </w:r>
    </w:p>
    <w:p>
      <w:pPr>
        <w:pStyle w:val="Variante"/>
      </w:pPr>
      <w:r>
        <w:t xml:space="preserve">Variante : Imposition acquittée</w:t>
      </w:r>
    </w:p>
    <w:p>
      <w:pPr>
        <w:pStyle w:val="Corps"/>
      </w:pPr>
      <w:r>
        <w:t xml:space="preserve">Le réclamant a acquitté [Paid amount] le [Payment date] selon [Payment evidence référence]. Les montants restant dus sont indiqués dans [Outstanding balance record].</w:t>
      </w:r>
    </w:p>
    <w:p>
      <w:pPr>
        <w:pStyle w:val="Corps"/>
      </w:pPr>
      <w:r>
        <w:t xml:space="preserve">La preuve de paiement est rapprochée du titre et de l'imputation comptable ; seuls les versements correspondant aux chefs dégrevés alimentent la restitution éventuelle.</w:t>
      </w:r>
    </w:p>
    <w:p>
      <w:pPr>
        <w:pStyle w:val="Variante"/>
      </w:pPr>
      <w:r>
        <w:t xml:space="preserve">Variante : Imposition non acquittée</w:t>
      </w:r>
    </w:p>
    <w:p>
      <w:pPr>
        <w:pStyle w:val="Corps"/>
      </w:pPr>
      <w:r>
        <w:t xml:space="preserve">La fraction contestée demeure impayée à hauteur de [Outstanding contested amount] selon [Outstanding balance record].</w:t>
      </w:r>
    </w:p>
    <w:p>
      <w:pPr>
        <w:pStyle w:val="Corps"/>
      </w:pPr>
      <w:r>
        <w:t xml:space="preserve">Le solde est ventilé entre part contestée et part non contestée ; l'absence de paiement ne vaut ni demande ni obtention d'un sursis.</w:t>
      </w:r>
    </w:p>
    <w:p>
      <w:pPr>
        <w:pStyle w:val="Intertitre"/>
      </w:pPr>
      <w:r>
        <w:t xml:space="preserve"> — choisir une seule variante</w:t>
      </w:r>
    </w:p>
    <w:p>
      <w:pPr>
        <w:pStyle w:val="Variante"/>
      </w:pPr>
      <w:r>
        <w:t xml:space="preserve">Variante : Imposition primitive</w:t>
      </w:r>
    </w:p>
    <w:p>
      <w:pPr>
        <w:pStyle w:val="Corps"/>
      </w:pPr>
      <w:r>
        <w:t xml:space="preserve">L'imposition contestée résulte de [Primitive assessment origin] sans procédure de rectification préalable. Les déclarations et échanges antérieurs sont listés dans [Primitive assessment record].</w:t>
      </w:r>
    </w:p>
    <w:p>
      <w:pPr>
        <w:pStyle w:val="Corps"/>
      </w:pPr>
      <w:r>
        <w:t xml:space="preserve">L'origine déclarative, la liquidation opérée et les éventuels échanges de simple gestion sont distingués d'une procédure de rectification contradictoire.</w:t>
      </w:r>
    </w:p>
    <w:p>
      <w:pPr>
        <w:pStyle w:val="Variante"/>
      </w:pPr>
      <w:r>
        <w:t xml:space="preserve">Variante : Imposition après contrôle ou rectification</w:t>
      </w:r>
    </w:p>
    <w:p>
      <w:pPr>
        <w:pStyle w:val="Corps"/>
      </w:pPr>
      <w:r>
        <w:t xml:space="preserve">L'imposition fait suite à [Audit or rectification type], engagée par [Procedure opening document] et clôturée selon [Rectification procedure schedule].</w:t>
      </w:r>
    </w:p>
    <w:p>
      <w:pPr>
        <w:pStyle w:val="Corps"/>
      </w:pPr>
      <w:r>
        <w:t xml:space="preserve">Les actes d'ouverture, réponses, interlocutions, avis, mise en recouvrement et griefs de procédure sont datés et reliés aux chefs maintenus.</w:t>
      </w:r>
    </w:p>
    <w:p>
      <w:pPr>
        <w:pStyle w:val="Intertitre"/>
      </w:pPr>
      <w:r>
        <w:t xml:space="preserve">Clause optionnelle : Échanges de la procédure de rectification</w:t>
      </w:r>
    </w:p>
    <w:p>
      <w:pPr>
        <w:pStyle w:val="Corps"/>
      </w:pPr>
      <w:r>
        <w:t xml:space="preserve">La proposition, les observations, la réponse de l'administration, les avis de commissions et les interlocutions sont récapitulés dans [Rectification exchange schedule] avec leurs dates de réception.</w:t>
      </w:r>
    </w:p>
    <w:p>
      <w:pPr>
        <w:pStyle w:val="Corps"/>
      </w:pPr>
      <w:r>
        <w:t xml:space="preserve">Le tableau précise pour chaque acte l'auteur, la date d'envoi, la réception, le délai de réponse, le contenu utile et la pièce correspondante.</w:t>
      </w:r>
    </w:p>
    <w:p>
      <w:pPr>
        <w:pStyle w:val="Intertitre"/>
      </w:pPr>
      <w:r>
        <w:t xml:space="preserve">Clause optionnelle : Point de départ en cas d'imposition d'office</w:t>
      </w:r>
    </w:p>
    <w:p>
      <w:pPr>
        <w:pStyle w:val="Corps"/>
      </w:pPr>
      <w:r>
        <w:t xml:space="preserve">Lorsque la procédure relève de la notification prévue à l'article L. 76, la réclamation n'est présentée qu'après le délai de [Legal office assessment wait days] jours ou après l'acte ouvrant effectivement le droit de réclamer, selon [Office assessment timing record].</w:t>
      </w:r>
    </w:p>
    <w:p>
      <w:pPr>
        <w:pStyle w:val="Intertitre"/>
      </w:pPr>
      <w:r>
        <w:t xml:space="preserve">Identification exhaustive de l'imposition</w:t>
      </w:r>
    </w:p>
    <w:p>
      <w:pPr>
        <w:pStyle w:val="Corps"/>
      </w:pPr>
      <w:r>
        <w:t xml:space="preserve">L'impôt, la période, le service, la base, le taux, les droits, pénalités, intérêts, paiements et références de recouvrement figurent dans [Contested assessment matrix].</w:t>
      </w:r>
    </w:p>
    <w:p>
      <w:pPr>
        <w:pStyle w:val="Corps"/>
      </w:pPr>
      <w:r>
        <w:t xml:space="preserve">Une ligne distincte est créée pour chaque impôt, période et titre afin de rendre vérifiables le total contesté et le dispositif demandé.</w:t>
      </w:r>
    </w:p>
    <w:p>
      <w:pPr>
        <w:pStyle w:val="Intertitre"/>
      </w:pPr>
      <w:r>
        <w:t xml:space="preserve">Chronologie</w:t>
      </w:r>
    </w:p>
    <w:p>
      <w:pPr>
        <w:pStyle w:val="Corps"/>
      </w:pPr>
      <w:r>
        <w:t xml:space="preserve">Les déclarations, contrôles, notifications, réponses, mises en recouvrement, paiements et recours sont ordonnés dans [Tax procedure chronology] et rapprochés de leurs preuves dans [Chronology evidence mapping].</w:t>
      </w:r>
    </w:p>
    <w:p>
      <w:pPr>
        <w:pStyle w:val="Corps"/>
      </w:pPr>
      <w:r>
        <w:t xml:space="preserve">Aucun événement n'est présenté comme acquis sans sa pièce ; les dates de signature, envoi, réception, recouvrement et paiement restent distinctes.</w:t>
      </w:r>
    </w:p>
    <w:p>
      <w:pPr>
        <w:pStyle w:val="Intertitre"/>
      </w:pPr>
      <w:r>
        <w:t xml:space="preserve">Déclarations fiscales</w:t>
      </w:r>
    </w:p>
    <w:p>
      <w:pPr>
        <w:pStyle w:val="Corps"/>
      </w:pPr>
      <w:r>
        <w:t xml:space="preserve">Les déclarations initiales et rectificatives concernées sont [Tax return list]. Les bases déclarées, corrections sollicitées et écarts avec l'imposition figurent dans [Return reconciliation record].</w:t>
      </w:r>
    </w:p>
    <w:p>
      <w:pPr>
        <w:pStyle w:val="Corps"/>
      </w:pPr>
      <w:r>
        <w:t xml:space="preserve">Chaque chiffre repris dans les moyens renvoie à une rubrique déclarative, à sa version déposée et au calcul expliquant l'écart revendiqué.</w:t>
      </w:r>
    </w:p>
    <w:p>
      <w:pPr>
        <w:pStyle w:val="Intertitre"/>
      </w:pPr>
      <w:r>
        <w:t xml:space="preserve">Clause optionnelle : Pièces comptables</w:t>
      </w:r>
    </w:p>
    <w:p>
      <w:pPr>
        <w:pStyle w:val="Corps"/>
      </w:pPr>
      <w:r>
        <w:t xml:space="preserve">Les écritures, balances, grands livres, liasses, rapprochements et justificatifs utiles sont identifiés dans [Accounting evidence schedule].</w:t>
      </w:r>
    </w:p>
    <w:p>
      <w:pPr>
        <w:pStyle w:val="Corps"/>
      </w:pPr>
      <w:r>
        <w:t xml:space="preserve">Les extraits produits sont bornés aux écritures utiles, rapprochés des pièces d'origine et expliqués lorsqu'une correction ou un reclassement est demandé.</w:t>
      </w:r>
    </w:p>
    <w:p>
      <w:pPr>
        <w:pStyle w:val="Intertitre"/>
      </w:pPr>
      <w:r>
        <w:t xml:space="preserve">Clause optionnelle : Contrats et opérations</w:t>
      </w:r>
    </w:p>
    <w:p>
      <w:pPr>
        <w:pStyle w:val="Corps"/>
      </w:pPr>
      <w:r>
        <w:t xml:space="preserve">Les contrats, factures, actes et flux relatifs aux opérations contestées sont [Contract evidence schedule] et leur exécution est rapprochée dans [Transaction evidence mapping].</w:t>
      </w:r>
    </w:p>
    <w:p>
      <w:pPr>
        <w:pStyle w:val="Corps"/>
      </w:pPr>
      <w:r>
        <w:t xml:space="preserve">Le moyen distingue stipulations contractuelles, exécution réelle, facturation et flux financiers afin que la qualification fiscale repose sur des faits concordants.</w:t>
      </w:r>
    </w:p>
    <w:p>
      <w:pPr>
        <w:pStyle w:val="Intertitre"/>
      </w:pPr>
      <w:r>
        <w:t xml:space="preserve">Clause optionnelle : Territorialité de l'IS</w:t>
      </w:r>
    </w:p>
    <w:p>
      <w:pPr>
        <w:pStyle w:val="Corps"/>
      </w:pPr>
      <w:r>
        <w:t xml:space="preserve">Les activités, établissements, conventions et résultats attribuables à la France sont analysés dans [Is territoriality analysis] au regard de [Is territoriality provisions].</w:t>
      </w:r>
    </w:p>
    <w:p>
      <w:pPr>
        <w:pStyle w:val="Corps"/>
      </w:pPr>
      <w:r>
        <w:t xml:space="preserve">Le moyen identifie l'activité génératrice, les fonctions exercées, les risques, les actifs et la convention fiscale éventuellement pertinente avant toute attribution de résultat.</w:t>
      </w:r>
    </w:p>
    <w:p>
      <w:pPr>
        <w:pStyle w:val="Intertitre"/>
      </w:pPr>
      <w:r>
        <w:t xml:space="preserve">Clause optionnelle : Produits imposables</w:t>
      </w:r>
    </w:p>
    <w:p>
      <w:pPr>
        <w:pStyle w:val="Corps"/>
      </w:pPr>
      <w:r>
        <w:t xml:space="preserve">Les produits réintégrés ou omis par l'administration sont détaillés dans [Is product schedule] ; leur rattachement et leur qualification sont contestés selon [Is product analysis].</w:t>
      </w:r>
    </w:p>
    <w:p>
      <w:pPr>
        <w:pStyle w:val="Corps"/>
      </w:pPr>
      <w:r>
        <w:t xml:space="preserve">Pour chaque produit, la réclamation expose le fait générateur comptable, l'exercice de rattachement, la qualification fiscale, la pièce et l'incidence sur le résultat.</w:t>
      </w:r>
    </w:p>
    <w:p>
      <w:pPr>
        <w:pStyle w:val="Intertitre"/>
      </w:pPr>
      <w:r>
        <w:t xml:space="preserve">Clause optionnelle : Charges déductibles</w:t>
      </w:r>
    </w:p>
    <w:p>
      <w:pPr>
        <w:pStyle w:val="Corps"/>
      </w:pPr>
      <w:r>
        <w:t xml:space="preserve">Les charges contestées sont [Is expense schedule]. Leur engagement dans l'intérêt de l'entreprise, leur comptabilisation, leur justification et leur montant sont établis dans [Is expense deductibility analysis].</w:t>
      </w:r>
    </w:p>
    <w:p>
      <w:pPr>
        <w:pStyle w:val="Corps"/>
      </w:pPr>
      <w:r>
        <w:t xml:space="preserve">Le moyen précise la date, le fournisseur, l'objet, la comptabilisation, le paiement, l'intérêt de l'entreprise et l'absence d'exclusion légale applicable.</w:t>
      </w:r>
    </w:p>
    <w:p>
      <w:pPr>
        <w:pStyle w:val="Intertitre"/>
      </w:pPr>
      <w:r>
        <w:t xml:space="preserve">Clause optionnelle : Amortissements et provisions</w:t>
      </w:r>
    </w:p>
    <w:p>
      <w:pPr>
        <w:pStyle w:val="Corps"/>
      </w:pPr>
      <w:r>
        <w:t xml:space="preserve">Les amortissements et provisions concernés sont [Is depreciation provision schedule] ; leur base, durée, risque, rattachement et reprise sont justifiés dans [Is depreciation provision analysis].</w:t>
      </w:r>
    </w:p>
    <w:p>
      <w:pPr>
        <w:pStyle w:val="Corps"/>
      </w:pPr>
      <w:r>
        <w:t xml:space="preserve">Chaque dotation est rapprochée de l'actif ou du risque, de sa base, de sa durée ou probabilité, de l'écriture et de la reprise éventuelle.</w:t>
      </w:r>
    </w:p>
    <w:p>
      <w:pPr>
        <w:pStyle w:val="Intertitre"/>
      </w:pPr>
      <w:r>
        <w:t xml:space="preserve">Clause optionnelle : Déficits</w:t>
      </w:r>
    </w:p>
    <w:p>
      <w:pPr>
        <w:pStyle w:val="Corps"/>
      </w:pPr>
      <w:r>
        <w:t xml:space="preserve">Les déficits d'origine, imputations, reports et plafonnements sont retracés dans [Is loss carryforward schedule] et corrigés selon [Is loss analysis].</w:t>
      </w:r>
    </w:p>
    <w:p>
      <w:pPr>
        <w:pStyle w:val="Corps"/>
      </w:pPr>
      <w:r>
        <w:t xml:space="preserve">Le tableau retrace l'exercice d'origine, le montant disponible, les imputations antérieures, les plafonds et le solde revendiqué après correction.</w:t>
      </w:r>
    </w:p>
    <w:p>
      <w:pPr>
        <w:pStyle w:val="Intertitre"/>
      </w:pPr>
      <w:r>
        <w:t xml:space="preserve">Clause optionnelle : Crédits et réductions d'impôt</w:t>
      </w:r>
    </w:p>
    <w:p>
      <w:pPr>
        <w:pStyle w:val="Corps"/>
      </w:pPr>
      <w:r>
        <w:t xml:space="preserve">Les créances fiscales concernées sont [Is tax credit schedule]. Les conditions, assiettes, imputations et restitutions demandées sont analysées dans [Is tax credit analysis].</w:t>
      </w:r>
    </w:p>
    <w:p>
      <w:pPr>
        <w:pStyle w:val="Corps"/>
      </w:pPr>
      <w:r>
        <w:t xml:space="preserve">Chaque créance est reliée à son fait générateur, son assiette, son taux, sa déclaration, son imputation antérieure et la restitution encore demandée.</w:t>
      </w:r>
    </w:p>
    <w:p>
      <w:pPr>
        <w:pStyle w:val="Intertitre"/>
      </w:pPr>
      <w:r>
        <w:t xml:space="preserve">Clause optionnelle : Recalcul de l'IS</w:t>
      </w:r>
    </w:p>
    <w:p>
      <w:pPr>
        <w:pStyle w:val="Corps"/>
      </w:pPr>
      <w:r>
        <w:t xml:space="preserve">Le résultat imposable de [Taxable result] doit être corrigé à [Corrected taxable result] selon [Is recalculation schedule], conduisant au dégrèvement chiffré ci-après.</w:t>
      </w:r>
    </w:p>
    <w:p>
      <w:pPr>
        <w:pStyle w:val="Corps"/>
      </w:pPr>
      <w:r>
        <w:t xml:space="preserve">Le passage du résultat déclaré au résultat corrigé détaille chaque réintégration, déduction, déficit et crédit sans agréger des chefs juridiquement distincts.</w:t>
      </w:r>
    </w:p>
    <w:p>
      <w:pPr>
        <w:pStyle w:val="Intertitre"/>
      </w:pPr>
      <w:r>
        <w:t xml:space="preserve">Clause optionnelle : Foyer fiscal et personnes à charge</w:t>
      </w:r>
    </w:p>
    <w:p>
      <w:pPr>
        <w:pStyle w:val="Corps"/>
      </w:pPr>
      <w:r>
        <w:t xml:space="preserve">La composition du foyer, la résidence, les rattachements et charges de famille sont établis dans [Ir household schedule] et corrigés selon [Ir household analysis].</w:t>
      </w:r>
    </w:p>
    <w:p>
      <w:pPr>
        <w:pStyle w:val="Corps"/>
      </w:pPr>
      <w:r>
        <w:t xml:space="preserve">Le moyen précise la situation au fait générateur, les liens, résidences, conditions de rattachement et incidences chiffrées sur le quotient ou les charges.</w:t>
      </w:r>
    </w:p>
    <w:p>
      <w:pPr>
        <w:pStyle w:val="Intertitre"/>
      </w:pPr>
      <w:r>
        <w:t xml:space="preserve">Clause optionnelle : Catégories de revenus</w:t>
      </w:r>
    </w:p>
    <w:p>
      <w:pPr>
        <w:pStyle w:val="Corps"/>
      </w:pPr>
      <w:r>
        <w:t xml:space="preserve">Les traitements, pensions, revenus fonciers, revenus mobiliers, plus-values et bénéfices professionnels sont rapprochés dans [Ir income category schedule] et qualifiés selon [Ir income category analysis].</w:t>
      </w:r>
    </w:p>
    <w:p>
      <w:pPr>
        <w:pStyle w:val="Corps"/>
      </w:pPr>
      <w:r>
        <w:t xml:space="preserve">Chaque revenu est rattaché à sa source, son bénéficiaire, sa période, sa catégorie légale, son montant brut et ses charges propres.</w:t>
      </w:r>
    </w:p>
    <w:p>
      <w:pPr>
        <w:pStyle w:val="Intertitre"/>
      </w:pPr>
      <w:r>
        <w:t xml:space="preserve">Clause optionnelle : Montants et rattachement des revenus</w:t>
      </w:r>
    </w:p>
    <w:p>
      <w:pPr>
        <w:pStyle w:val="Corps"/>
      </w:pPr>
      <w:r>
        <w:t xml:space="preserve">Les montants déclarés, retenus et corrigés par catégorie figurent dans [Ir income reconciliation] avec les dates, débiteurs et pièces utiles.</w:t>
      </w:r>
    </w:p>
    <w:p>
      <w:pPr>
        <w:pStyle w:val="Corps"/>
      </w:pPr>
      <w:r>
        <w:t xml:space="preserve">Le rapprochement distingue montants encaissés, déclarés, retenus par l'administration et revendiqués, avec une justification pour chaque écart de période ou de titulaire.</w:t>
      </w:r>
    </w:p>
    <w:p>
      <w:pPr>
        <w:pStyle w:val="Intertitre"/>
      </w:pPr>
      <w:r>
        <w:t xml:space="preserve">Clause optionnelle : Charges et déductions</w:t>
      </w:r>
    </w:p>
    <w:p>
      <w:pPr>
        <w:pStyle w:val="Corps"/>
      </w:pPr>
      <w:r>
        <w:t xml:space="preserve">Les charges déductibles et abattements sollicités sont [Ir deduction schedule] et leurs conditions sont justifiées dans [Ir deduction analysis].</w:t>
      </w:r>
    </w:p>
    <w:p>
      <w:pPr>
        <w:pStyle w:val="Corps"/>
      </w:pPr>
      <w:r>
        <w:t xml:space="preserve">Pour chaque charge sont indiqués le bénéficiaire, la date, le paiement, le plafond, la condition légale et l'incidence exacte sur le revenu imposable.</w:t>
      </w:r>
    </w:p>
    <w:p>
      <w:pPr>
        <w:pStyle w:val="Intertitre"/>
      </w:pPr>
      <w:r>
        <w:t xml:space="preserve">Clause optionnelle : Déficits catégoriels et globaux</w:t>
      </w:r>
    </w:p>
    <w:p>
      <w:pPr>
        <w:pStyle w:val="Corps"/>
      </w:pPr>
      <w:r>
        <w:t xml:space="preserve">Les déficits, leur origine, leur imputation et leur report sont retracés dans [Ir loss schedule] et corrigés selon [Ir loss analysis].</w:t>
      </w:r>
    </w:p>
    <w:p>
      <w:pPr>
        <w:pStyle w:val="Corps"/>
      </w:pPr>
      <w:r>
        <w:t xml:space="preserve">L'origine catégorielle, les règles d'imputation, les reports consommés et le reliquat sont retracés année par année sans mélanger déficit global et catégoriel.</w:t>
      </w:r>
    </w:p>
    <w:p>
      <w:pPr>
        <w:pStyle w:val="Intertitre"/>
      </w:pPr>
      <w:r>
        <w:t xml:space="preserve">Clause optionnelle : Réductions, crédits et prélèvements</w:t>
      </w:r>
    </w:p>
    <w:p>
      <w:pPr>
        <w:pStyle w:val="Corps"/>
      </w:pPr>
      <w:r>
        <w:t xml:space="preserve">Les réductions, crédits d'impôt, retenues et acomptes sont [Ir credit withholding schedule] et leur imputation est recalculée dans [Ir credit analysis].</w:t>
      </w:r>
    </w:p>
    <w:p>
      <w:pPr>
        <w:pStyle w:val="Corps"/>
      </w:pPr>
      <w:r>
        <w:t xml:space="preserve">Les bases, taux, plafonds, acomptes et imputations sont rapprochés des déclarations et attestations afin d'isoler la créance réellement disponible.</w:t>
      </w:r>
    </w:p>
    <w:p>
      <w:pPr>
        <w:pStyle w:val="Intertitre"/>
      </w:pPr>
      <w:r>
        <w:t xml:space="preserve">Clause optionnelle : Recalcul de l'IR</w:t>
      </w:r>
    </w:p>
    <w:p>
      <w:pPr>
        <w:pStyle w:val="Corps"/>
      </w:pPr>
      <w:r>
        <w:t xml:space="preserve">Le revenu imposable de [Taxable income] doit être corrigé à [Corrected taxable income] selon [Ir recalculation schedule], conduisant au dégrèvement chiffré ci-après.</w:t>
      </w:r>
    </w:p>
    <w:p>
      <w:pPr>
        <w:pStyle w:val="Corps"/>
      </w:pPr>
      <w:r>
        <w:t xml:space="preserve">Le calcul part du revenu retenu, applique séparément corrections, déficits, charges, quotient, réductions et crédits, puis aboutit au dégrèvement demandé.</w:t>
      </w:r>
    </w:p>
    <w:p>
      <w:pPr>
        <w:pStyle w:val="Intertitre"/>
      </w:pPr>
      <w:r>
        <w:t xml:space="preserve">Clause optionnelle : Opérations soumises à TVA</w:t>
      </w:r>
    </w:p>
    <w:p>
      <w:pPr>
        <w:pStyle w:val="Corps"/>
      </w:pPr>
      <w:r>
        <w:t xml:space="preserve">Les livraisons et prestations concernées sont [Vat output operation schedule]. Leur qualité d'opérations imposables ou exonérées est analysée dans [Vat scope analysis].</w:t>
      </w:r>
    </w:p>
    <w:p>
      <w:pPr>
        <w:pStyle w:val="Corps"/>
      </w:pPr>
      <w:r>
        <w:t xml:space="preserve">Chaque opération est décrite par sa nature, ses parties, sa date, son prix, son lieu et son régime afin d'établir assujettissement ou exonération.</w:t>
      </w:r>
    </w:p>
    <w:p>
      <w:pPr>
        <w:pStyle w:val="Intertitre"/>
      </w:pPr>
      <w:r>
        <w:t xml:space="preserve">Clause optionnelle : Territorialité</w:t>
      </w:r>
    </w:p>
    <w:p>
      <w:pPr>
        <w:pStyle w:val="Corps"/>
      </w:pPr>
      <w:r>
        <w:t xml:space="preserve">Le lieu des opérations, les parties, les flux et les règles applicables sont retracés dans [Vat territoriality matrix] et analysés dans [Vat territoriality analysis].</w:t>
      </w:r>
    </w:p>
    <w:p>
      <w:pPr>
        <w:pStyle w:val="Corps"/>
      </w:pPr>
      <w:r>
        <w:t xml:space="preserve">La règle applicable est choisie selon qu'il s'agit d'un bien ou d'un service, puis appliquée aux flux, établissements et qualités des parties documentés.</w:t>
      </w:r>
    </w:p>
    <w:p>
      <w:pPr>
        <w:pStyle w:val="Intertitre"/>
      </w:pPr>
      <w:r>
        <w:t xml:space="preserve">Clause optionnelle : Fait générateur et exigibilité</w:t>
      </w:r>
    </w:p>
    <w:p>
      <w:pPr>
        <w:pStyle w:val="Corps"/>
      </w:pPr>
      <w:r>
        <w:t xml:space="preserve">Les dates de livraison, d'exécution, d'encaissement et de facturation sont [Vat exigibility schedule] ; la période d'exigibilité correcte résulte de [Vat exigibility analysis].</w:t>
      </w:r>
    </w:p>
    <w:p>
      <w:pPr>
        <w:pStyle w:val="Corps"/>
      </w:pPr>
      <w:r>
        <w:t xml:space="preserve">Le moyen distingue fait générateur et exigibilité et rattache chaque opération à la déclaration correspondant à la livraison, au débit ou à l'encaissement prouvé.</w:t>
      </w:r>
    </w:p>
    <w:p>
      <w:pPr>
        <w:pStyle w:val="Intertitre"/>
      </w:pPr>
      <w:r>
        <w:t xml:space="preserve">Clause optionnelle : Base d'imposition</w:t>
      </w:r>
    </w:p>
    <w:p>
      <w:pPr>
        <w:pStyle w:val="Corps"/>
      </w:pPr>
      <w:r>
        <w:t xml:space="preserve">Les prix, compléments, subventions, frais, rabais et éléments exclus sont détaillés dans [Vat taxable base schedule] et corrigés selon [Vat taxable base analysis].</w:t>
      </w:r>
    </w:p>
    <w:p>
      <w:pPr>
        <w:pStyle w:val="Corps"/>
      </w:pPr>
      <w:r>
        <w:t xml:space="preserve">Le calcul ventile contrepartie, accessoires, subventions liées au prix, rabais acquis et éléments exclus, sans appliquer un montant global non justifié.</w:t>
      </w:r>
    </w:p>
    <w:p>
      <w:pPr>
        <w:pStyle w:val="Intertitre"/>
      </w:pPr>
      <w:r>
        <w:t xml:space="preserve">Clause optionnelle : Taux de TVA</w:t>
      </w:r>
    </w:p>
    <w:p>
      <w:pPr>
        <w:pStyle w:val="Corps"/>
      </w:pPr>
      <w:r>
        <w:t xml:space="preserve">Le taux appliqué est [Vat rate] et le taux revendiqué résulte de [Vat rate provision] au regard des biens ou services décrits dans [Vat rate analysis].</w:t>
      </w:r>
    </w:p>
    <w:p>
      <w:pPr>
        <w:pStyle w:val="Corps"/>
      </w:pPr>
      <w:r>
        <w:t xml:space="preserve">La disposition de taux applicable à la date de l'opération est citée précisément ; aucun taux n'est déduit de la seule désignation commerciale.</w:t>
      </w:r>
    </w:p>
    <w:p>
      <w:pPr>
        <w:pStyle w:val="Intertitre"/>
      </w:pPr>
      <w:r>
        <w:t xml:space="preserve">Clause optionnelle : Facturation et déclarations</w:t>
      </w:r>
    </w:p>
    <w:p>
      <w:pPr>
        <w:pStyle w:val="Corps"/>
      </w:pPr>
      <w:r>
        <w:t xml:space="preserve">Les factures, avoirs et déclarations de TVA sont rapprochés dans [Vat output invoice return reconciliation] ; les doubles emplois et omissions y sont identifiés.</w:t>
      </w:r>
    </w:p>
    <w:p>
      <w:pPr>
        <w:pStyle w:val="Corps"/>
      </w:pPr>
      <w:r>
        <w:t xml:space="preserve">Chaque facture ou avoir est relié à l'opération, à la période déclarée et à l'écriture correspondante afin d'identifier omission, doublon ou correction.</w:t>
      </w:r>
    </w:p>
    <w:p>
      <w:pPr>
        <w:pStyle w:val="Intertitre"/>
      </w:pPr>
      <w:r>
        <w:t xml:space="preserve">Clause optionnelle : Recalcul de la TVA collectée</w:t>
      </w:r>
    </w:p>
    <w:p>
      <w:pPr>
        <w:pStyle w:val="Corps"/>
      </w:pPr>
      <w:r>
        <w:t xml:space="preserve">La TVA collectée de [Vat output amount] doit être corrigée selon [Vat output recalculation schedule], conduisant au montant réclamé ci-après.</w:t>
      </w:r>
    </w:p>
    <w:p>
      <w:pPr>
        <w:pStyle w:val="Corps"/>
      </w:pPr>
      <w:r>
        <w:t xml:space="preserve">Le tableau reprend base par base le taux applicable, la taxe initiale, la taxe corrigée et l'écart demandé, net des avoirs déjà imputés.</w:t>
      </w:r>
    </w:p>
    <w:p>
      <w:pPr>
        <w:pStyle w:val="Intertitre"/>
      </w:pPr>
      <w:r>
        <w:t xml:space="preserve">Clause optionnelle : Factures ouvrant droit à déduction</w:t>
      </w:r>
    </w:p>
    <w:p>
      <w:pPr>
        <w:pStyle w:val="Corps"/>
      </w:pPr>
      <w:r>
        <w:t xml:space="preserve">Les factures et documents d'importation concernés sont [Vat input invoice schedule]. Leur émetteur, contenu, taxe et paiement sont vérifiés dans [Vat invoice compliance record].</w:t>
      </w:r>
    </w:p>
    <w:p>
      <w:pPr>
        <w:pStyle w:val="Corps"/>
      </w:pPr>
      <w:r>
        <w:t xml:space="preserve">Le contrôle porte notamment sur l'identité des parties, la date, la nature de l'opération, la taxe mentionnée et l'absence de double déduction.</w:t>
      </w:r>
    </w:p>
    <w:p>
      <w:pPr>
        <w:pStyle w:val="Intertitre"/>
      </w:pPr>
      <w:r>
        <w:t xml:space="preserve">Clause optionnelle : Affectation aux opérations ouvrant droit</w:t>
      </w:r>
    </w:p>
    <w:p>
      <w:pPr>
        <w:pStyle w:val="Corps"/>
      </w:pPr>
      <w:r>
        <w:t xml:space="preserve">L'utilisation des biens et services pour les opérations du réclamant est détaillée dans [Vat business use schedule] et son lien avec les opérations ouvrant droit est établi dans [Vat business use analysis].</w:t>
      </w:r>
    </w:p>
    <w:p>
      <w:pPr>
        <w:pStyle w:val="Intertitre"/>
      </w:pPr>
      <w:r>
        <w:t xml:space="preserve">Clause optionnelle : Naissance et exercice du droit à déduction</w:t>
      </w:r>
    </w:p>
    <w:p>
      <w:pPr>
        <w:pStyle w:val="Corps"/>
      </w:pPr>
      <w:r>
        <w:t xml:space="preserve">La date d'exigibilité chez le fournisseur, la détention du justificatif et la période d'exercice sont retracées dans [Vat input exigibility schedule].</w:t>
      </w:r>
    </w:p>
    <w:p>
      <w:pPr>
        <w:pStyle w:val="Corps"/>
      </w:pPr>
      <w:r>
        <w:t xml:space="preserve">La naissance du droit, la détention du justificatif et l'exercice effectif sont datés séparément pour retenir la période de déduction correcte.</w:t>
      </w:r>
    </w:p>
    <w:p>
      <w:pPr>
        <w:pStyle w:val="Intertitre"/>
      </w:pPr>
      <w:r>
        <w:t xml:space="preserve">Clause optionnelle : Étendue du droit à déduction</w:t>
      </w:r>
    </w:p>
    <w:p>
      <w:pPr>
        <w:pStyle w:val="Corps"/>
      </w:pPr>
      <w:r>
        <w:t xml:space="preserve">Les coefficients, secteurs distincts, régularisations et exclusions sont détaillés dans [Vat deduction coefficient schedule] et justifiés par [Vat deduction scope analysis].</w:t>
      </w:r>
    </w:p>
    <w:p>
      <w:pPr>
        <w:pStyle w:val="Corps"/>
      </w:pPr>
      <w:r>
        <w:t xml:space="preserve">Le coefficient d'assujettissement, de taxation et d'admission est justifié composante par composante, puis appliqué à chaque dépense concernée.</w:t>
      </w:r>
    </w:p>
    <w:p>
      <w:pPr>
        <w:pStyle w:val="Intertitre"/>
      </w:pPr>
      <w:r>
        <w:t xml:space="preserve">Clause optionnelle : Crédit ou remboursement de TVA</w:t>
      </w:r>
    </w:p>
    <w:p>
      <w:pPr>
        <w:pStyle w:val="Corps"/>
      </w:pPr>
      <w:r>
        <w:t xml:space="preserve">Le crédit revendiqué est [Vat refund amount] selon les déclarations et reports [Vat credit carryforward schedule]. Les conditions de remboursement sont établies dans [Vat refund analysis].</w:t>
      </w:r>
    </w:p>
    <w:p>
      <w:pPr>
        <w:pStyle w:val="Corps"/>
      </w:pPr>
      <w:r>
        <w:t xml:space="preserve">Le crédit est rapproché des déclarations antérieures, reports, imputations et demandes déjà déposées afin d'exclure tout remboursement en double.</w:t>
      </w:r>
    </w:p>
    <w:p>
      <w:pPr>
        <w:pStyle w:val="Intertitre"/>
      </w:pPr>
      <w:r>
        <w:t xml:space="preserve">Clause optionnelle : Recalcul de la TVA déductible</w:t>
      </w:r>
    </w:p>
    <w:p>
      <w:pPr>
        <w:pStyle w:val="Corps"/>
      </w:pPr>
      <w:r>
        <w:t xml:space="preserve">La TVA déductible de [Vat deductible amount] doit être corrigée selon [Vat input recalculation schedule], conduisant au droit à déduction ou à restitution demandé.</w:t>
      </w:r>
    </w:p>
    <w:p>
      <w:pPr>
        <w:pStyle w:val="Corps"/>
      </w:pPr>
      <w:r>
        <w:t xml:space="preserve">Le tableau identifie la taxe facturée, la fraction admise, la fraction déjà exercée et le solde demandé par facture et par période.</w:t>
      </w:r>
    </w:p>
    <w:p>
      <w:pPr>
        <w:pStyle w:val="Intertitre"/>
      </w:pPr>
      <w:r>
        <w:t xml:space="preserve">Clause optionnelle : Erreur de fait</w:t>
      </w:r>
    </w:p>
    <w:p>
      <w:pPr>
        <w:pStyle w:val="Corps"/>
      </w:pPr>
      <w:r>
        <w:t xml:space="preserve">Les constatations matériellement inexactes sont [Factual error list] et sont contredites par [Factual error evidence schedule].</w:t>
      </w:r>
    </w:p>
    <w:p>
      <w:pPr>
        <w:pStyle w:val="Corps"/>
      </w:pPr>
      <w:r>
        <w:t xml:space="preserve">Pour chaque erreur, le fait retenu par l'administration, le fait établi par les pièces et l'incidence chiffrée sur le chef contesté sont confrontés.</w:t>
      </w:r>
    </w:p>
    <w:p>
      <w:pPr>
        <w:pStyle w:val="Intertitre"/>
      </w:pPr>
      <w:r>
        <w:t xml:space="preserve">Clause optionnelle : Erreur de droit</w:t>
      </w:r>
    </w:p>
    <w:p>
      <w:pPr>
        <w:pStyle w:val="Corps"/>
      </w:pPr>
      <w:r>
        <w:t xml:space="preserve">Les textes appliqués, l'interprétation retenue et l'erreur alléguée sont exposés dans [Legal error analysis] avec la version des sources en vigueur pour la période contestée.</w:t>
      </w:r>
    </w:p>
    <w:p>
      <w:pPr>
        <w:pStyle w:val="Corps"/>
      </w:pPr>
      <w:r>
        <w:t xml:space="preserve">Le moyen cite le texte applicable à la période, expose son interprétation, applique chaque condition aux faits prouvés et chiffre la conséquence demandée.</w:t>
      </w:r>
    </w:p>
    <w:p>
      <w:pPr>
        <w:pStyle w:val="Intertitre"/>
      </w:pPr>
      <w:r>
        <w:t xml:space="preserve">Clause optionnelle : Norme supérieure</w:t>
      </w:r>
    </w:p>
    <w:p>
      <w:pPr>
        <w:pStyle w:val="Corps"/>
      </w:pPr>
      <w:r>
        <w:t xml:space="preserve">Le moyen tiré de la méconnaissance de [Higher law source] est développé dans [Higher law analysis] avec l'incidence précise sur l'imposition contestée.</w:t>
      </w:r>
    </w:p>
    <w:p>
      <w:pPr>
        <w:pStyle w:val="Corps"/>
      </w:pPr>
      <w:r>
        <w:t xml:space="preserve">La hiérarchie invoquée, le champ d'application, l'incompatibilité précise et la conséquence sur chaque chef sont développés sans transformer une jurisprudence en événement de délai.</w:t>
      </w:r>
    </w:p>
    <w:p>
      <w:pPr>
        <w:pStyle w:val="Intertitre"/>
      </w:pPr>
      <w:r>
        <w:t xml:space="preserve"> — choisir une seule variante</w:t>
      </w:r>
    </w:p>
    <w:p>
      <w:pPr>
        <w:pStyle w:val="Variante"/>
      </w:pPr>
      <w:r>
        <w:t xml:space="preserve">Variante : Absence de pénalité contestée</w:t>
      </w:r>
    </w:p>
    <w:p>
      <w:pPr>
        <w:pStyle w:val="Corps"/>
      </w:pPr>
      <w:r>
        <w:t xml:space="preserve">La présente réclamation ne comporte aucun moyen autonome dirigé contre une pénalité fiscale.</w:t>
      </w:r>
    </w:p>
    <w:p>
      <w:pPr>
        <w:pStyle w:val="Corps"/>
      </w:pPr>
      <w:r>
        <w:t xml:space="preserve">Les intérêts accessoires non qualifiés de pénalité restent néanmoins identifiés dans le tableau des montants et ne sont pas réputés abandonnés par cette seule mention.</w:t>
      </w:r>
    </w:p>
    <w:p>
      <w:pPr>
        <w:pStyle w:val="Variante"/>
      </w:pPr>
      <w:r>
        <w:t xml:space="preserve">Variante : Pénalités contestées</w:t>
      </w:r>
    </w:p>
    <w:p>
      <w:pPr>
        <w:pStyle w:val="Corps"/>
      </w:pPr>
      <w:r>
        <w:t xml:space="preserve">Les pénalités contestées sont [Penalty assessment schedule] et reposent sur [Penalty legal basis] selon la motivation [Penalty motivation record].</w:t>
      </w:r>
    </w:p>
    <w:p>
      <w:pPr>
        <w:pStyle w:val="Corps"/>
      </w:pPr>
      <w:r>
        <w:t xml:space="preserve">Chaque moyen distingue l'élément matériel, l'élément intentionnel lorsque requis, la motivation, la charge de la preuve et l'incidence chiffrée.</w:t>
      </w:r>
    </w:p>
    <w:p>
      <w:pPr>
        <w:pStyle w:val="Intertitre"/>
      </w:pPr>
      <w:r>
        <w:t xml:space="preserve">Clause optionnelle : Élément matériel</w:t>
      </w:r>
    </w:p>
    <w:p>
      <w:pPr>
        <w:pStyle w:val="Corps"/>
      </w:pPr>
      <w:r>
        <w:t xml:space="preserve">Les faits retenus au soutien de la pénalité sont contestés selon [Penalty material élément analysis] et les pièces [Penalty contrary evidence schedule].</w:t>
      </w:r>
    </w:p>
    <w:p>
      <w:pPr>
        <w:pStyle w:val="Corps"/>
      </w:pPr>
      <w:r>
        <w:t xml:space="preserve">Les omissions ou insuffisances alléguées sont confrontées ligne par ligne aux déclarations, paiements, écritures et pièces produites par le réclamant.</w:t>
      </w:r>
    </w:p>
    <w:p>
      <w:pPr>
        <w:pStyle w:val="Intertitre"/>
      </w:pPr>
      <w:r>
        <w:t xml:space="preserve">Clause optionnelle : Mauvaise foi ou manœuvres</w:t>
      </w:r>
    </w:p>
    <w:p>
      <w:pPr>
        <w:pStyle w:val="Corps"/>
      </w:pPr>
      <w:r>
        <w:t xml:space="preserve">L'administration supporte la preuve de la mauvaise foi ou des manœuvres invoquées. Les insuffisances de cette démonstration sont exposées dans [Penalty intent analysis].</w:t>
      </w:r>
    </w:p>
    <w:p>
      <w:pPr>
        <w:pStyle w:val="Corps"/>
      </w:pPr>
      <w:r>
        <w:t xml:space="preserve">Le moyen analyse les éléments précis invoqués par l'administration et explique pourquoi ils ne caractérisent pas l'intention ou les manœuvres légalement requises.</w:t>
      </w:r>
    </w:p>
    <w:p>
      <w:pPr>
        <w:pStyle w:val="Intertitre"/>
      </w:pPr>
      <w:r>
        <w:t xml:space="preserve">Clause optionnelle : Motivation et proportion</w:t>
      </w:r>
    </w:p>
    <w:p>
      <w:pPr>
        <w:pStyle w:val="Corps"/>
      </w:pPr>
      <w:r>
        <w:t xml:space="preserve">La base légale, la motivation, le taux, l'assiette et la proportion de la pénalité sont contrôlés dans [Penalty legality matrix].</w:t>
      </w:r>
    </w:p>
    <w:p>
      <w:pPr>
        <w:pStyle w:val="Corps"/>
      </w:pPr>
      <w:r>
        <w:t xml:space="preserve">Le contrôle distingue existence de la motivation, adéquation du fondement, assiette, taux et proportion, puis formule une conclusion autonome pour chaque sanction.</w:t>
      </w:r>
    </w:p>
    <w:p>
      <w:pPr>
        <w:pStyle w:val="Intertitre"/>
      </w:pPr>
      <w:r>
        <w:t xml:space="preserve"> — choisir une seule variante</w:t>
      </w:r>
    </w:p>
    <w:p>
      <w:pPr>
        <w:pStyle w:val="Variante"/>
      </w:pPr>
      <w:r>
        <w:t xml:space="preserve">Variante : Demande de décharge</w:t>
      </w:r>
    </w:p>
    <w:p>
      <w:pPr>
        <w:pStyle w:val="Corps"/>
      </w:pPr>
      <w:r>
        <w:t xml:space="preserve">Le réclamant demande la décharge de l'imposition contestée à hauteur de [Requested relief amount] selon les conclusions détaillées dans [Requested relief conclusions].</w:t>
      </w:r>
    </w:p>
    <w:p>
      <w:pPr>
        <w:pStyle w:val="Corps"/>
      </w:pPr>
      <w:r>
        <w:t xml:space="preserve">Le dispositif énumère les titres, périodes, droits, intérêts et pénalités dont l'annulation totale est demandée, sans renvoi global aux seuls motifs.</w:t>
      </w:r>
    </w:p>
    <w:p>
      <w:pPr>
        <w:pStyle w:val="Variante"/>
      </w:pPr>
      <w:r>
        <w:t xml:space="preserve">Variante : Demande de réduction</w:t>
      </w:r>
    </w:p>
    <w:p>
      <w:pPr>
        <w:pStyle w:val="Corps"/>
      </w:pPr>
      <w:r>
        <w:t xml:space="preserve">Le réclamant demande la réduction de l'imposition à hauteur de [Requested relief amount] selon le calcul [Relief recalculation schedule] et les conclusions [Requested relief conclusions].</w:t>
      </w:r>
    </w:p>
    <w:p>
      <w:pPr>
        <w:pStyle w:val="Corps"/>
      </w:pPr>
      <w:r>
        <w:t xml:space="preserve">Le dispositif indique pour chaque chef le montant maintenu, le montant dégrevé et le calcul permettant à l'administration d'exécuter la décision sollicitée.</w:t>
      </w:r>
    </w:p>
    <w:p>
      <w:pPr>
        <w:pStyle w:val="Variante"/>
      </w:pPr>
      <w:r>
        <w:t xml:space="preserve">Variante : Demande de restitution</w:t>
      </w:r>
    </w:p>
    <w:p>
      <w:pPr>
        <w:pStyle w:val="Corps"/>
      </w:pPr>
      <w:r>
        <w:t xml:space="preserve">Le réclamant demande la restitution de la somme de [Requested relief amount], déjà versée ou non imputée, selon [Restitution calculation record] et les conclusions [Requested relief conclusions].</w:t>
      </w:r>
    </w:p>
    <w:p>
      <w:pPr>
        <w:pStyle w:val="Corps"/>
      </w:pPr>
      <w:r>
        <w:t xml:space="preserve">La demande identifie le paiement ou crédit concerné, sa date, son imputation, la somme à restituer et les intérêts sollicités lorsqu'ils sont applicables.</w:t>
      </w:r>
    </w:p>
    <w:p>
      <w:pPr>
        <w:pStyle w:val="Intertitre"/>
      </w:pPr>
      <w:r>
        <w:t xml:space="preserve">Chiffrage des conclusions</w:t>
      </w:r>
    </w:p>
    <w:p>
      <w:pPr>
        <w:pStyle w:val="Corps"/>
      </w:pPr>
      <w:r>
        <w:t xml:space="preserve">Le tableau [Claim amount reconciliation] rapproche bases, droits, pénalités, intérêts, paiements et montant demandé, sans inclure de somme non justifiée par une pièce.</w:t>
      </w:r>
    </w:p>
    <w:p>
      <w:pPr>
        <w:pStyle w:val="Corps"/>
      </w:pPr>
      <w:r>
        <w:t xml:space="preserve">Le total du dispositif doit égaler la somme des lignes demandées après déduction des dégrèvements, remboursements et imputations déjà obtenus.</w:t>
      </w:r>
    </w:p>
    <w:p>
      <w:pPr>
        <w:pStyle w:val="Intertitre"/>
      </w:pPr>
      <w:r>
        <w:t xml:space="preserve">Clause optionnelle : Intérêts moratoires</w:t>
      </w:r>
    </w:p>
    <w:p>
      <w:pPr>
        <w:pStyle w:val="Corps"/>
      </w:pPr>
      <w:r>
        <w:t xml:space="preserve">En cas de dégrèvement réparant l'erreur d'assiette ou de calcul et de remboursement de sommes perçues, le réclamant sollicite les intérêts moratoires selon [Moratory interest calculation request] à compter des paiements identifiés.</w:t>
      </w:r>
    </w:p>
    <w:p>
      <w:pPr>
        <w:pStyle w:val="Intertitre"/>
      </w:pPr>
      <w:r>
        <w:t xml:space="preserve"> — choisir une seule variante</w:t>
      </w:r>
    </w:p>
    <w:p>
      <w:pPr>
        <w:pStyle w:val="Variante"/>
      </w:pPr>
      <w:r>
        <w:t xml:space="preserve">Variante : Absence de demande de sursis</w:t>
      </w:r>
    </w:p>
    <w:p>
      <w:pPr>
        <w:pStyle w:val="Corps"/>
      </w:pPr>
      <w:r>
        <w:t xml:space="preserve">Le réclamant ne sollicite pas de sursis de paiement dans la présente réclamation.</w:t>
      </w:r>
    </w:p>
    <w:p>
      <w:pPr>
        <w:pStyle w:val="Corps"/>
      </w:pPr>
      <w:r>
        <w:t xml:space="preserve">L'absence de sursis ne modifie ni l'exigibilité ni les mesures de recouvrement ; le réclamant distingue cette décision de sa contestation d'assiette.</w:t>
      </w:r>
    </w:p>
    <w:p>
      <w:pPr>
        <w:pStyle w:val="Variante"/>
      </w:pPr>
      <w:r>
        <w:t xml:space="preserve">Variante : Sursis demandé sans garantie proposée</w:t>
      </w:r>
    </w:p>
    <w:p>
      <w:pPr>
        <w:pStyle w:val="Corps"/>
      </w:pPr>
      <w:r>
        <w:t xml:space="preserve">Le réclamant demande expressément à différer le paiement de [Stay amount], correspondant à la fraction contestée, et expose dans [Guarantee requirement assessment] pourquoi aucune garantie n'est proposée à ce stade.</w:t>
      </w:r>
    </w:p>
    <w:p>
      <w:pPr>
        <w:pStyle w:val="Variante"/>
      </w:pPr>
      <w:r>
        <w:t xml:space="preserve">Variante : Sursis demandé avec garanties</w:t>
      </w:r>
    </w:p>
    <w:p>
      <w:pPr>
        <w:pStyle w:val="Corps"/>
      </w:pPr>
      <w:r>
        <w:t xml:space="preserve">Le réclamant demande expressément à différer le paiement de [Stay amount] et propose les garanties [Guarantee description], valorisées à [Guarantee value] selon [Guarantee valuation evidence].</w:t>
      </w:r>
    </w:p>
    <w:p>
      <w:pPr>
        <w:pStyle w:val="Corps"/>
      </w:pPr>
      <w:r>
        <w:t xml:space="preserve">La propriété, la disponibilité, le rang, la valeur et la durée de chaque garantie sont documentés, sans présumer leur acceptation par le comptable.</w:t>
      </w:r>
    </w:p>
    <w:p>
      <w:pPr>
        <w:pStyle w:val="Intertitre"/>
      </w:pPr>
      <w:r>
        <w:t xml:space="preserve">Clause optionnelle : Périmètre du sursis</w:t>
      </w:r>
    </w:p>
    <w:p>
      <w:pPr>
        <w:pStyle w:val="Corps"/>
      </w:pPr>
      <w:r>
        <w:t xml:space="preserve">Le montant ou les bases du dégrèvement revendiqué et la fraction dont le paiement est différé sont rapprochés dans [Stay amount reconciliation]. Les sommes non contestées demeurent traitées séparément.</w:t>
      </w:r>
    </w:p>
    <w:p>
      <w:pPr>
        <w:pStyle w:val="Corps"/>
      </w:pPr>
      <w:r>
        <w:t xml:space="preserve">La demande vise seulement les droits et pénalités contestés encore impayés ; la fraction non contestée et ses échéances demeurent expressément hors sursis.</w:t>
      </w:r>
    </w:p>
    <w:p>
      <w:pPr>
        <w:pStyle w:val="Intertitre"/>
      </w:pPr>
      <w:r>
        <w:t xml:space="preserve">Titre fiscal</w:t>
      </w:r>
    </w:p>
    <w:p>
      <w:pPr>
        <w:pStyle w:val="Corps"/>
      </w:pPr>
      <w:r>
        <w:t xml:space="preserve">Est annexé [Mandatory tax title copy], permettant d'identifier l'imposition et son montant.</w:t>
      </w:r>
    </w:p>
    <w:p>
      <w:pPr>
        <w:pStyle w:val="Corps"/>
      </w:pPr>
      <w:r>
        <w:t xml:space="preserve">Les avis, rôles, mises en recouvrement et preuves de paiement sont classés par imposition et période. Les dates de réception ou de mise à disposition sont conservées pour établir la recevabilité sans présumer un point de départ incertain.</w:t>
      </w:r>
    </w:p>
    <w:p>
      <w:pPr>
        <w:pStyle w:val="Intertitre"/>
      </w:pPr>
      <w:r>
        <w:t xml:space="preserve">Pièces de procédure</w:t>
      </w:r>
    </w:p>
    <w:p>
      <w:pPr>
        <w:pStyle w:val="Corps"/>
      </w:pPr>
      <w:r>
        <w:t xml:space="preserve">Les notifications, observations, réponses, avis et preuves de réception sont listés dans [Procedure document schedule].</w:t>
      </w:r>
    </w:p>
    <w:p>
      <w:pPr>
        <w:pStyle w:val="Corps"/>
      </w:pPr>
      <w:r>
        <w:t xml:space="preserve">Les propositions, réponses, observations, recours hiérarchiques et décisions antérieures sont produits dans leur ordre chronologique. Chaque moyen renvoie aux actes qui en établissent le contexte et aux pièces de calcul correspondantes.</w:t>
      </w:r>
    </w:p>
    <w:p>
      <w:pPr>
        <w:pStyle w:val="Intertitre"/>
      </w:pPr>
      <w:r>
        <w:t xml:space="preserve">Déclarations et calculs</w:t>
      </w:r>
    </w:p>
    <w:p>
      <w:pPr>
        <w:pStyle w:val="Corps"/>
      </w:pPr>
      <w:r>
        <w:t xml:space="preserve">Les déclarations, liasses, annexes et tableaux de calcul produits sont listés dans [Return and calculation annex schedule].</w:t>
      </w:r>
    </w:p>
    <w:p>
      <w:pPr>
        <w:pStyle w:val="Corps"/>
      </w:pPr>
      <w:r>
        <w:t xml:space="preserve">Chaque document est numéroté, daté et relié au chef qu'il justifie ; les versions rectificatives sont distinguées des déclarations initiales.</w:t>
      </w:r>
    </w:p>
    <w:p>
      <w:pPr>
        <w:pStyle w:val="Intertitre"/>
      </w:pPr>
      <w:r>
        <w:t xml:space="preserve">Bordereau et correspondance</w:t>
      </w:r>
    </w:p>
    <w:p>
      <w:pPr>
        <w:pStyle w:val="Corps"/>
      </w:pPr>
      <w:r>
        <w:t xml:space="preserve">Le bordereau [Attachment schedule] numérote chaque pièce ; la table [Claim evidence mapping] relie chaque fait, moyen et montant à ses justificatifs.</w:t>
      </w:r>
    </w:p>
    <w:p>
      <w:pPr>
        <w:pStyle w:val="Corps"/>
      </w:pPr>
      <w:r>
        <w:t xml:space="preserve">Les renvois utilisés dans le corps correspondent exactement aux numéros du bordereau et signalent les pièces manquantes plutôt que de les supposer produites.</w:t>
      </w:r>
    </w:p>
    <w:p>
      <w:pPr>
        <w:pStyle w:val="Intertitre"/>
      </w:pPr>
      <w:r>
        <w:t xml:space="preserve">Instruction de la réclamation</w:t>
      </w:r>
    </w:p>
    <w:p>
      <w:pPr>
        <w:pStyle w:val="Corps"/>
      </w:pPr>
      <w:r>
        <w:t xml:space="preserve">L'administration statue en principe dans le délai de [Legal admin decision months] mois à compter de la présentation ; une prolongation motivée ne peut dépasser [Legal admin extension months] mois. Tout rejet total ou partiel doit être motivé.</w:t>
      </w:r>
    </w:p>
    <w:p>
      <w:pPr>
        <w:pStyle w:val="Intertitre"/>
      </w:pPr>
      <w:r>
        <w:t xml:space="preserve">Suivi d'une décision ou du silence</w:t>
      </w:r>
    </w:p>
    <w:p>
      <w:pPr>
        <w:pStyle w:val="Corps"/>
      </w:pPr>
      <w:r>
        <w:t xml:space="preserve">En cas de décision défavorable, le délai de saisine du tribunal est suivi pendant [Legal tribunal action months] mois à compter de sa réception ; le silence à l'issue du délai administratif est enregistré dans [Court deadline tracking record].</w:t>
      </w:r>
    </w:p>
    <w:p>
      <w:pPr>
        <w:pStyle w:val="Intertitre"/>
      </w:pPr>
      <w:r>
        <w:t xml:space="preserve">Preuve de dépôt</w:t>
      </w:r>
    </w:p>
    <w:p>
      <w:pPr>
        <w:pStyle w:val="Corps"/>
      </w:pPr>
      <w:r>
        <w:t xml:space="preserve">La réclamation et ses annexes sont déposées par [Claim filing channel] ; la preuve [Claim receipt référence] et l'exemplaire signé sont conservés dans [Correspondence register].</w:t>
      </w:r>
    </w:p>
    <w:p>
      <w:pPr>
        <w:pStyle w:val="Corps"/>
      </w:pPr>
      <w:r>
        <w:t xml:space="preserve">Le registre conserve la version intégrale transmise, son inventaire d'annexes, la date certaine et l'accusé permettant d'établir la saisine du service.</w:t>
      </w:r>
    </w:p>
    <w:p>
      <w:pPr>
        <w:pStyle w:val="Intertitre"/>
      </w:pPr>
      <w:r>
        <w:t xml:space="preserve">Clause optionnelle : Signature</w:t>
      </w:r>
    </w:p>
    <w:p>
      <w:pPr>
        <w:pStyle w:val="Corps"/>
      </w:pPr>
      <w:r>
        <w:t xml:space="preserve">Fait à [Signature place], le [Signature date]. [Authorized signatory name], agissant en qualité de [Authorized signatory capacity], signe la réclamation selon [Signature authority référence].</w:t>
      </w:r>
    </w:p>
    <w:p>
      <w:pPr>
        <w:pStyle w:val="Corps"/>
      </w:pPr>
      <w:r>
        <w:t xml:space="preserve">La qualité et le pouvoir du signataire sont rapprochés de l'identité du réclamant ou du mandat ; aucune signature n'est affichée avant ces contrôles.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