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STATUTS DE SCI FAMILIALE AVEC CLAUSES D'AGRÉMENT RENFORCÉES</w:t>
      </w:r>
    </w:p>
    <w:p>
      <w:pPr>
        <w:pStyle w:val="Intertitre"/>
      </w:pPr>
      <w:r>
        <w:t xml:space="preserve">Constitution de la société civile</w:t>
      </w:r>
    </w:p>
    <w:p>
      <w:pPr>
        <w:pStyle w:val="Corps"/>
      </w:pPr>
      <w:r>
        <w:t xml:space="preserve">Les fondateurs conviennent de constituer une société civile immobilière à vocation familiale régie par les dispositions générales du contrat de société, le régime des sociétés civiles, les présents statuts et les décisions régulièrement prises pendant la vie sociale.</w:t>
      </w:r>
    </w:p>
    <w:p>
      <w:pPr>
        <w:pStyle w:val="Intertitre"/>
      </w:pPr>
      <w:r>
        <w:t xml:space="preserve">Identification des associés fondateurs</w:t>
      </w:r>
    </w:p>
    <w:p>
      <w:pPr>
        <w:pStyle w:val="Corps"/>
      </w:pPr>
      <w:r>
        <w:t xml:space="preserve">Les associés fondateurs sont identifiés comme suit : [Identité et qualité des fondateurs]. Leur identité, leur domicile ou siège, leur situation juridique et leur qualité d'apporteur sont contrôlés avant la signature définitive.</w:t>
      </w:r>
    </w:p>
    <w:p>
      <w:pPr>
        <w:pStyle w:val="Intertitre"/>
      </w:pPr>
      <w:r>
        <w:t xml:space="preserve">Représentation des fondateurs</w:t>
      </w:r>
    </w:p>
    <w:p>
      <w:pPr>
        <w:pStyle w:val="Corps"/>
      </w:pPr>
      <w:r>
        <w:t xml:space="preserve">Tout fondateur qui ne signe pas personnellement est représenté selon [Pouvoirs des représentants]. Le pouvoir couvre expressément la constitution, les apports, l'adoption des statuts et, le cas échéant, la nomination du Gérant.</w:t>
      </w:r>
    </w:p>
    <w:p>
      <w:pPr>
        <w:pStyle w:val="Intertitre"/>
      </w:pPr>
      <w:r>
        <w:t xml:space="preserve">Capacité et pouvoirs</w:t>
      </w:r>
    </w:p>
    <w:p>
      <w:pPr>
        <w:pStyle w:val="Corps"/>
      </w:pPr>
      <w:r>
        <w:t xml:space="preserve">La capacité de chaque fondateur et la régularité de ses pouvoirs sont établies par [Justificatifs de capacité]. Toute mesure de protection, indivision, démembrement, autorisation ou incompatibilité est traitée avant signature.</w:t>
      </w:r>
    </w:p>
    <w:p>
      <w:pPr>
        <w:pStyle w:val="Intertitre"/>
      </w:pPr>
      <w:r>
        <w:t xml:space="preserve">Forme civile</w:t>
      </w:r>
    </w:p>
    <w:p>
      <w:pPr>
        <w:pStyle w:val="Corps"/>
      </w:pPr>
      <w:r>
        <w:t xml:space="preserve">La société est constituée sous la forme d'une société civile immobilière. Son objet et son activité effective conservent un caractère civil ; les opérations accessoires demeurent subordonnées à l'objet immobilier et patrimonial familial.</w:t>
      </w:r>
    </w:p>
    <w:p>
      <w:pPr>
        <w:pStyle w:val="Intertitre"/>
      </w:pPr>
      <w:r>
        <w:t xml:space="preserve">Responsabilité indéfinie et proportionnelle</w:t>
      </w:r>
    </w:p>
    <w:p>
      <w:pPr>
        <w:pStyle w:val="Corps"/>
      </w:pPr>
      <w:r>
        <w:t xml:space="preserve">La responsabilité indéfinie des associés signifie qu'à l'égard des tiers, ils répondent des dettes sociales à proportion de leur part dans le capital à la date de l'exigibilité ou au jour de la cessation des paiements. La répartition contrôlée est décrite par [Répartition proportionnelle des dettes sociales] et ne crée aucune solidarité non prévue par la loi.</w:t>
      </w:r>
    </w:p>
    <w:p>
      <w:pPr>
        <w:pStyle w:val="Intertitre"/>
      </w:pPr>
      <w:r>
        <w:t xml:space="preserve">Poursuites préalables contre la société</w:t>
      </w:r>
    </w:p>
    <w:p>
      <w:pPr>
        <w:pStyle w:val="Corps"/>
      </w:pPr>
      <w:r>
        <w:t xml:space="preserve">Un créancier ne peut poursuivre un associé au titre des dettes sociales qu'après avoir poursuivi préalablement et vainement la société. Les actes et résultats de ces démarches sont établis par [Preuves des poursuites préalables contre la société].</w:t>
      </w:r>
    </w:p>
    <w:p>
      <w:pPr>
        <w:pStyle w:val="Intertitre"/>
      </w:pPr>
      <w:r>
        <w:t xml:space="preserve">Clause optionnelle : Responsabilité de l'apporteur en industrie</w:t>
      </w:r>
    </w:p>
    <w:p>
      <w:pPr>
        <w:pStyle w:val="Corps"/>
      </w:pPr>
      <w:r>
        <w:t xml:space="preserve">L'associé qui n'a apporté que son industrie répond des dettes sociales comme l'associé dont la participation au capital est la plus faible, sans que les statuts puissent supprimer cette obligation.</w:t>
      </w:r>
    </w:p>
    <w:p>
      <w:pPr>
        <w:pStyle w:val="Intertitre"/>
      </w:pPr>
      <w:r>
        <w:t xml:space="preserve">Clause optionnelle : Emploi de biens communs</w:t>
      </w:r>
    </w:p>
    <w:p>
      <w:pPr>
        <w:pStyle w:val="Corps"/>
      </w:pPr>
      <w:r>
        <w:t xml:space="preserve">[Époux apporteur de biens communs] déclare employer des biens communs pour souscrire des parts. [Conjoint informé] a été préalablement informé selon [Preuve d'information du conjoint], conservée avec les pièces constitutives.</w:t>
      </w:r>
    </w:p>
    <w:p>
      <w:pPr>
        <w:pStyle w:val="Intertitre"/>
      </w:pPr>
      <w:r>
        <w:t xml:space="preserve">Clause optionnelle : Revendication de la qualité d'associé par le conjoint</w:t>
      </w:r>
    </w:p>
    <w:p>
      <w:pPr>
        <w:pStyle w:val="Corps"/>
      </w:pPr>
      <w:r>
        <w:t xml:space="preserve">[Conjoint informé] revendique la qualité d'associé pour [Parts revendiquées par le conjoint] parts selon [Agrément du conjoint]. La procédure, le vote et l'attribution des parts respectent les règles applicables à la date de la notification.</w:t>
      </w:r>
    </w:p>
    <w:p>
      <w:pPr>
        <w:pStyle w:val="Intertitre"/>
      </w:pPr>
      <w:r>
        <w:t xml:space="preserve">Bénéficiaires effectifs</w:t>
      </w:r>
    </w:p>
    <w:p>
      <w:pPr>
        <w:pStyle w:val="Corps"/>
      </w:pPr>
      <w:r>
        <w:t xml:space="preserve">La situation des bénéficiaires effectifs est documentée par [Déclaration des bénéficiaires effectifs]. La signature des statuts ne vaut pas accomplissement de la déclaration correspondante, qui est déposée et contrôlée séparément.</w:t>
      </w:r>
    </w:p>
    <w:p>
      <w:pPr>
        <w:pStyle w:val="Intertitre"/>
      </w:pPr>
      <w:r>
        <w:t xml:space="preserve">Dénomination sociale</w:t>
      </w:r>
    </w:p>
    <w:p>
      <w:pPr>
        <w:pStyle w:val="Corps"/>
      </w:pPr>
      <w:r>
        <w:t xml:space="preserve">La société prend la dénomination [Dénomination sociale]. Dans les actes destinés aux tiers, cette dénomination est accompagnée de la forme, du capital, du siège et des mentions d'immatriculation exigées.</w:t>
      </w:r>
    </w:p>
    <w:p>
      <w:pPr>
        <w:pStyle w:val="Intertitre"/>
      </w:pPr>
      <w:r>
        <w:t xml:space="preserve">Mentions sur les actes de la société</w:t>
      </w:r>
    </w:p>
    <w:p>
      <w:pPr>
        <w:pStyle w:val="Corps"/>
      </w:pPr>
      <w:r>
        <w:t xml:space="preserve">Les correspondances, contrats, factures et annonces émanant de la société reproduisent sa dénomination, sa forme, son capital, son siège et ses références d'immatriculation telles qu'elles résultent des formalités accomplies.</w:t>
      </w:r>
    </w:p>
    <w:p>
      <w:pPr>
        <w:pStyle w:val="Intertitre"/>
      </w:pPr>
      <w:r>
        <w:t xml:space="preserve">Projet familial</w:t>
      </w:r>
    </w:p>
    <w:p>
      <w:pPr>
        <w:pStyle w:val="Corps"/>
      </w:pPr>
      <w:r>
        <w:t xml:space="preserve">Les associés inscrivent la société dans le projet familial décrit par [Description du projet familial]. Les liens familiaux et qualités utiles figurent dans [Tableau des liens familiaux] sans dispenser chaque associé de défendre l'intérêt social.</w:t>
      </w:r>
    </w:p>
    <w:p>
      <w:pPr>
        <w:pStyle w:val="Intertitre"/>
      </w:pPr>
      <w:r>
        <w:t xml:space="preserve">Principes de gouvernance familiale</w:t>
      </w:r>
    </w:p>
    <w:p>
      <w:pPr>
        <w:pStyle w:val="Corps"/>
      </w:pPr>
      <w:r>
        <w:t xml:space="preserve">La préparation des décisions, la circulation de l'information et le traitement des intérêts divergents suivent [Charte de gouvernance familiale]. Cette organisation ne remplace ni la Gérance ni les décisions collectives prévues par les statuts.</w:t>
      </w:r>
    </w:p>
    <w:p>
      <w:pPr>
        <w:pStyle w:val="Intertitre"/>
      </w:pPr>
      <w:r>
        <w:t xml:space="preserve">Clause optionnelle : Associé mineur</w:t>
      </w:r>
    </w:p>
    <w:p>
      <w:pPr>
        <w:pStyle w:val="Corps"/>
      </w:pPr>
      <w:r>
        <w:t xml:space="preserve">L'associé mineur [Identité de l'associé mineur] exerce ses droits par [Représentation de l'associé mineur] selon [Justificatifs relatifs à l'associé mineur]. Les pouvoirs, conflits d'intérêts et autorisations propres à chaque acte sont vérifiés avant signature ou vote.</w:t>
      </w:r>
    </w:p>
    <w:p>
      <w:pPr>
        <w:pStyle w:val="Intertitre"/>
      </w:pPr>
      <w:r>
        <w:t xml:space="preserve">Clause optionnelle : Associé faisant l'objet d'une mesure de protection</w:t>
      </w:r>
    </w:p>
    <w:p>
      <w:pPr>
        <w:pStyle w:val="Corps"/>
      </w:pPr>
      <w:r>
        <w:t xml:space="preserve">La situation de [Identité de l'associé protégé] résulte de [Mesure de protection applicable]. Son assistance ou sa représentation est assurée selon [Assistance ou représentation de l'associé protégé] et contrôlée pour chaque acte concerné.</w:t>
      </w:r>
    </w:p>
    <w:p>
      <w:pPr>
        <w:pStyle w:val="Intertitre"/>
      </w:pPr>
      <w:r>
        <w:t xml:space="preserve">Définition de l'objet social</w:t>
      </w:r>
    </w:p>
    <w:p>
      <w:pPr>
        <w:pStyle w:val="Corps"/>
      </w:pPr>
      <w:r>
        <w:t xml:space="preserve">L'objet social est défini comme suit : [Objet social principal]. Il est interprété conformément à la nature civile de la société, à l'intérêt commun des associés et à l'intérêt social.</w:t>
      </w:r>
    </w:p>
    <w:p>
      <w:pPr>
        <w:pStyle w:val="Intertitre"/>
      </w:pPr>
      <w:r>
        <w:t xml:space="preserve"> — choisir une seule variante</w:t>
      </w:r>
    </w:p>
    <w:p>
      <w:pPr>
        <w:pStyle w:val="Variante"/>
      </w:pPr>
      <w:r>
        <w:t xml:space="preserve">Variante : Objet civil immobilier</w:t>
      </w:r>
    </w:p>
    <w:p>
      <w:pPr>
        <w:pStyle w:val="Corps"/>
      </w:pPr>
      <w:r>
        <w:t xml:space="preserve">La société a pour objet l'acquisition, la propriété, l'administration, la gestion et, lorsque cela demeure compatible avec son caractère civil, la mise à disposition ou la location des biens décrits par [Stratégie immobilière ou patrimoniale]. Les actes de disposition restent subordonnés aux pouvoirs et décisions prévus par les statuts.</w:t>
      </w:r>
    </w:p>
    <w:p>
      <w:pPr>
        <w:pStyle w:val="Variante"/>
      </w:pPr>
      <w:r>
        <w:t xml:space="preserve">Variante : Objet civil patrimonial familial</w:t>
      </w:r>
    </w:p>
    <w:p>
      <w:pPr>
        <w:pStyle w:val="Corps"/>
      </w:pPr>
      <w:r>
        <w:t xml:space="preserve">La société a pour objet la détention, l'organisation, l'administration et la transmission d'un patrimoine familial selon [Stratégie immobilière ou patrimoniale]. Elle ne peut exercer habituellement une activité commerciale incompatible avec sa nature civile.</w:t>
      </w:r>
    </w:p>
    <w:p>
      <w:pPr>
        <w:pStyle w:val="Intertitre"/>
      </w:pPr>
      <w:r>
        <w:t xml:space="preserve">Opérations accessoires</w:t>
      </w:r>
    </w:p>
    <w:p>
      <w:pPr>
        <w:pStyle w:val="Corps"/>
      </w:pPr>
      <w:r>
        <w:t xml:space="preserve">La société peut accomplir les opérations civiles et financières directement rattachées à son objet, décrites par [Opérations accessoires], à condition qu'elles ne modifient pas sa nature civile et restent conformes à l'intérêt social.</w:t>
      </w:r>
    </w:p>
    <w:p>
      <w:pPr>
        <w:pStyle w:val="Intertitre"/>
      </w:pPr>
      <w:r>
        <w:t xml:space="preserve">Clause optionnelle : Activité soumise à conditions professionnelles</w:t>
      </w:r>
    </w:p>
    <w:p>
      <w:pPr>
        <w:pStyle w:val="Corps"/>
      </w:pPr>
      <w:r>
        <w:t xml:space="preserve">L'activité [Activité réglementée] n'est exercée qu'après vérification de [Autorisation professionnelle]. Les statuts ne valent ni agrément, ni inscription, ni assurance professionnelle.</w:t>
      </w:r>
    </w:p>
    <w:p>
      <w:pPr>
        <w:pStyle w:val="Intertitre"/>
      </w:pPr>
      <w:r>
        <w:t xml:space="preserve">Usage et conservation des actifs</w:t>
      </w:r>
    </w:p>
    <w:p>
      <w:pPr>
        <w:pStyle w:val="Corps"/>
      </w:pPr>
      <w:r>
        <w:t xml:space="preserve">Les actifs sociaux sont utilisés conformément à [Restrictions d'usage des actifs]. Toute mise à disposition gratuite, occupation par un associé, location particulière ou changement d'usage est autorisé et documenté selon les pouvoirs compétents.</w:t>
      </w:r>
    </w:p>
    <w:p>
      <w:pPr>
        <w:pStyle w:val="Intertitre"/>
      </w:pPr>
      <w:r>
        <w:t xml:space="preserve">Siège social</w:t>
      </w:r>
    </w:p>
    <w:p>
      <w:pPr>
        <w:pStyle w:val="Corps"/>
      </w:pPr>
      <w:r>
        <w:t xml:space="preserve">Le siège social est fixé à [Siège social] en vertu de [Titre d'occupation du siège]. La société conserve le justificatif de jouissance et respecte les limites attachées à ce titre.</w:t>
      </w:r>
    </w:p>
    <w:p>
      <w:pPr>
        <w:pStyle w:val="Intertitre"/>
      </w:pPr>
      <w:r>
        <w:t xml:space="preserve">Transfert du siège</w:t>
      </w:r>
    </w:p>
    <w:p>
      <w:pPr>
        <w:pStyle w:val="Corps"/>
      </w:pPr>
      <w:r>
        <w:t xml:space="preserve">Le siège peut être transféré selon [Office transfer decision rule]. La décision identifie la nouvelle adresse, sa date d'effet, le justificatif de jouissance et les pouvoirs donnés pour modifier les statuts et accomplir les formalités.</w:t>
      </w:r>
    </w:p>
    <w:p>
      <w:pPr>
        <w:pStyle w:val="Intertitre"/>
      </w:pPr>
      <w:r>
        <w:t xml:space="preserve">Durée</w:t>
      </w:r>
    </w:p>
    <w:p>
      <w:pPr>
        <w:pStyle w:val="Corps"/>
      </w:pPr>
      <w:r>
        <w:t xml:space="preserve">La durée de la société est fixée à [Durée de la société] années à compter de son immatriculation, sauf prorogation ou dissolution anticipée régulièrement décidée.</w:t>
      </w:r>
    </w:p>
    <w:p>
      <w:pPr>
        <w:pStyle w:val="Intertitre"/>
      </w:pPr>
      <w:r>
        <w:t xml:space="preserve">Prorogation</w:t>
      </w:r>
    </w:p>
    <w:p>
      <w:pPr>
        <w:pStyle w:val="Corps"/>
      </w:pPr>
      <w:r>
        <w:t xml:space="preserve">La Gérance consulte les associés sur une éventuelle prorogation au moins [Anticipation de la prorogation] avant le terme afin que la décision et ses formalités interviennent avant l'expiration.</w:t>
      </w:r>
    </w:p>
    <w:p>
      <w:pPr>
        <w:pStyle w:val="Intertitre"/>
      </w:pPr>
      <w:r>
        <w:t xml:space="preserve">Composition des apports</w:t>
      </w:r>
    </w:p>
    <w:p>
      <w:pPr>
        <w:pStyle w:val="Corps"/>
      </w:pPr>
      <w:r>
        <w:t xml:space="preserve">Les apports constitutifs sont identifiés, évalués selon leur nature et rapprochés du capital et des parts attribuées. Aucun droit, dette, sûreté, occupation ou charge n'est réputé compris sans mention expresse.</w:t>
      </w:r>
    </w:p>
    <w:p>
      <w:pPr>
        <w:pStyle w:val="Intertitre"/>
      </w:pPr>
      <w:r>
        <w:t xml:space="preserve"> — choisir une seule variante</w:t>
      </w:r>
    </w:p>
    <w:p>
      <w:pPr>
        <w:pStyle w:val="Variante"/>
      </w:pPr>
      <w:r>
        <w:t xml:space="preserve">Variante : Apports exclusivement en numéraire</w:t>
      </w:r>
    </w:p>
    <w:p>
      <w:pPr>
        <w:pStyle w:val="Corps"/>
      </w:pPr>
      <w:r>
        <w:t xml:space="preserve">Le capital est constitué exclusivement d'apports en numéraire pour un total de [Total des apports en numéraire]. Aucun bien mobilier ou immobilier n'est rémunéré par des parts lors de la constitution.</w:t>
      </w:r>
    </w:p>
    <w:p>
      <w:pPr>
        <w:pStyle w:val="Variante"/>
      </w:pPr>
      <w:r>
        <w:t xml:space="preserve">Variante : Apports en numéraire et mobiliers</w:t>
      </w:r>
    </w:p>
    <w:p>
      <w:pPr>
        <w:pStyle w:val="Corps"/>
      </w:pPr>
      <w:r>
        <w:t xml:space="preserve">Le capital réunit des apports en numéraire de [Total des apports en numéraire] et des apports mobiliers de [Valeur de l'apport mobilier]. Leur total est rapproché du capital et de l'attribution des parts.</w:t>
      </w:r>
    </w:p>
    <w:p>
      <w:pPr>
        <w:pStyle w:val="Variante"/>
      </w:pPr>
      <w:r>
        <w:t xml:space="preserve">Variante : Apports en numéraire et immobiliers</w:t>
      </w:r>
    </w:p>
    <w:p>
      <w:pPr>
        <w:pStyle w:val="Corps"/>
      </w:pPr>
      <w:r>
        <w:t xml:space="preserve">Le capital réunit des apports en numéraire de [Total des apports en numéraire] et un ou plusieurs apports immobiliers évalués à [Valeur de l'apport immobilier]. Les formalités civiles, notariales et foncières sont traitées avant l'immatriculation.</w:t>
      </w:r>
    </w:p>
    <w:p>
      <w:pPr>
        <w:pStyle w:val="Variante"/>
      </w:pPr>
      <w:r>
        <w:t xml:space="preserve">Variante : Apports mixtes</w:t>
      </w:r>
    </w:p>
    <w:p>
      <w:pPr>
        <w:pStyle w:val="Corps"/>
      </w:pPr>
      <w:r>
        <w:t xml:space="preserve">Le capital réunit des apports en numéraire de [Total des apports en numéraire], des apports mobiliers de [Valeur de l'apport mobilier] et des apports immobiliers de [Valeur de l'apport immobilier]. Chaque catégorie est décrite et rapprochée séparément.</w:t>
      </w:r>
    </w:p>
    <w:p>
      <w:pPr>
        <w:pStyle w:val="Intertitre"/>
      </w:pPr>
      <w:r>
        <w:t xml:space="preserve">Apports en numéraire</w:t>
      </w:r>
    </w:p>
    <w:p>
      <w:pPr>
        <w:pStyle w:val="Corps"/>
      </w:pPr>
      <w:r>
        <w:t xml:space="preserve">Les apports en numéraire souscrits s'élèvent à [Total des apports en numéraire]. La somme versée à la constitution est de [Numéraire libéré à la constitution] et le solde de [Solde du numéraire à libérer] est appelé selon [Cash call terms].</w:t>
      </w:r>
    </w:p>
    <w:p>
      <w:pPr>
        <w:pStyle w:val="Intertitre"/>
      </w:pPr>
      <w:r>
        <w:t xml:space="preserve">Dépôt et traçabilité des fonds</w:t>
      </w:r>
    </w:p>
    <w:p>
      <w:pPr>
        <w:pStyle w:val="Corps"/>
      </w:pPr>
      <w:r>
        <w:t xml:space="preserve">Les fonds sont déposés ou conservés selon [Cash deposit terms] sous la référence [Référence du dépôt]. Les justificatifs établissent le montant, l'apporteur et la date de disponibilité.</w:t>
      </w:r>
    </w:p>
    <w:p>
      <w:pPr>
        <w:pStyle w:val="Intertitre"/>
      </w:pPr>
      <w:r>
        <w:t xml:space="preserve">Clause optionnelle : Apport de biens mobiliers</w:t>
      </w:r>
    </w:p>
    <w:p>
      <w:pPr>
        <w:pStyle w:val="Corps"/>
      </w:pPr>
      <w:r>
        <w:t xml:space="preserve">[Apporteur de biens mobiliers] apporte [Description de l'apport mobilier], évalué à [Valeur de l'apport mobilier] et grevé des charges suivantes : [Charges de l'apport mobilier]. La propriété, la délivrance et les garanties sont établies par les pièces annexées.</w:t>
      </w:r>
    </w:p>
    <w:p>
      <w:pPr>
        <w:pStyle w:val="Intertitre"/>
      </w:pPr>
      <w:r>
        <w:t xml:space="preserve">Clause optionnelle : Apport immobilier</w:t>
      </w:r>
    </w:p>
    <w:p>
      <w:pPr>
        <w:pStyle w:val="Corps"/>
      </w:pPr>
      <w:r>
        <w:t xml:space="preserve">[Apporteur immobilier] apporte l'immeuble désigné par [Désignation complète de l'immeuble apporté], dont l'origine de propriété est [Origine de propriété], évalué à [Valeur de l'apport immobilier] et affecté par [Charges, sûretés et occupations de l'immeuble].</w:t>
      </w:r>
    </w:p>
    <w:p>
      <w:pPr>
        <w:pStyle w:val="Intertitre"/>
      </w:pPr>
      <w:r>
        <w:t xml:space="preserve">Clause optionnelle : Forme et publicité de l'apport immobilier</w:t>
      </w:r>
    </w:p>
    <w:p>
      <w:pPr>
        <w:pStyle w:val="Corps"/>
      </w:pPr>
      <w:r>
        <w:t xml:space="preserve">L'apport immobilier est constaté par [Référence de l'acte authentique] et fait l'objet des formalités de publicité foncière décrites par [Références de publicité foncière]. La propriété, les pouvoirs, l'urbanisme, les diagnostics, les inscriptions et la fiscalité sont contrôlés dans les pièces de l'acte.</w:t>
      </w:r>
    </w:p>
    <w:p>
      <w:pPr>
        <w:pStyle w:val="Intertitre"/>
      </w:pPr>
      <w:r>
        <w:t xml:space="preserve">Clause optionnelle : Rémunération de l'apport immobilier</w:t>
      </w:r>
    </w:p>
    <w:p>
      <w:pPr>
        <w:pStyle w:val="Corps"/>
      </w:pPr>
      <w:r>
        <w:t xml:space="preserve">L'apport immobilier est rémunéré par [Real estate parts issued] parts, conformément à [Répartition des parts sociales]. Le rapprochement vérifie l'évaluation retenue, le nominal, le capital et les droits attribués.</w:t>
      </w:r>
    </w:p>
    <w:p>
      <w:pPr>
        <w:pStyle w:val="Intertitre"/>
      </w:pPr>
      <w:r>
        <w:t xml:space="preserve">Clause optionnelle : Apport en industrie</w:t>
      </w:r>
    </w:p>
    <w:p>
      <w:pPr>
        <w:pStyle w:val="Corps"/>
      </w:pPr>
      <w:r>
        <w:t xml:space="preserve">[Apporteur en industrie] s'engage à fournir [Description de l'apport en industrie]. Cet apport ne concourt pas au capital et donne lieu à [Parts d'industrie] parts d'industrie selon les conditions prévues ci-après.</w:t>
      </w:r>
    </w:p>
    <w:p>
      <w:pPr>
        <w:pStyle w:val="Intertitre"/>
      </w:pPr>
      <w:r>
        <w:t xml:space="preserve">Clause optionnelle : Droits et obligations de l'apporteur en industrie</w:t>
      </w:r>
    </w:p>
    <w:p>
      <w:pPr>
        <w:pStyle w:val="Corps"/>
      </w:pPr>
      <w:r>
        <w:t xml:space="preserve">Les parts d'industrie ouvrent les droits financiers définis par [Droits financiers de l'apporteur en industrie] et imposent l'exécution personnelle de l'apport. La restriction d'activité [Obligation de non-concurrence de l'apporteur] ne s'applique que dans une mesure nécessaire et proportionnée.</w:t>
      </w:r>
    </w:p>
    <w:p>
      <w:pPr>
        <w:pStyle w:val="Intertitre"/>
      </w:pPr>
      <w:r>
        <w:t xml:space="preserve"> — choisir une seule variante</w:t>
      </w:r>
    </w:p>
    <w:p>
      <w:pPr>
        <w:pStyle w:val="Variante"/>
      </w:pPr>
      <w:r>
        <w:t xml:space="preserve">Variante : Capital fixe</w:t>
      </w:r>
    </w:p>
    <w:p>
      <w:pPr>
        <w:pStyle w:val="Corps"/>
      </w:pPr>
      <w:r>
        <w:t xml:space="preserve">Le capital social est fixé à [Capital social]. Il ne peut être modifié que par une décision régulière des associés et l'accomplissement des formalités correspondantes.</w:t>
      </w:r>
    </w:p>
    <w:p>
      <w:pPr>
        <w:pStyle w:val="Variante"/>
      </w:pPr>
      <w:r>
        <w:t xml:space="preserve">Variante : Capital variable</w:t>
      </w:r>
    </w:p>
    <w:p>
      <w:pPr>
        <w:pStyle w:val="Corps"/>
      </w:pPr>
      <w:r>
        <w:t xml:space="preserve">La société adopte le régime du capital variable. Le capital souscrit initial est de [Capital souscrit initial], le capital plancher de [Capital plancher] et le capital maximal autorisé de [Capital maximal autorisé].</w:t>
      </w:r>
    </w:p>
    <w:p>
      <w:pPr>
        <w:pStyle w:val="Intertitre"/>
      </w:pPr>
      <w:r>
        <w:t xml:space="preserve">Clause optionnelle : Variations du capital</w:t>
      </w:r>
    </w:p>
    <w:p>
      <w:pPr>
        <w:pStyle w:val="Corps"/>
      </w:pPr>
      <w:r>
        <w:t xml:space="preserve">Dans les limites du plancher et du plafond, les souscriptions, admissions, retraits et remboursements sont constatés selon [Variable capital process]. Aucun mouvement ne peut porter atteinte aux droits des tiers ni contourner une règle d'agrément.</w:t>
      </w:r>
    </w:p>
    <w:p>
      <w:pPr>
        <w:pStyle w:val="Intertitre"/>
      </w:pPr>
      <w:r>
        <w:t xml:space="preserve">Division du capital en parts égales</w:t>
      </w:r>
    </w:p>
    <w:p>
      <w:pPr>
        <w:pStyle w:val="Corps"/>
      </w:pPr>
      <w:r>
        <w:t xml:space="preserve">Le capital est divisé en [Nombre de parts sociales] parts sociales égales d'une valeur nominale de [Valeur nominale d'une part] chacune. Les parts ne sont pas représentées par des titres négociables.</w:t>
      </w:r>
    </w:p>
    <w:p>
      <w:pPr>
        <w:pStyle w:val="Intertitre"/>
      </w:pPr>
      <w:r>
        <w:t xml:space="preserve">Attribution des parts sociales</w:t>
      </w:r>
    </w:p>
    <w:p>
      <w:pPr>
        <w:pStyle w:val="Corps"/>
      </w:pPr>
      <w:r>
        <w:t xml:space="preserve">Les parts sont attribuées aux associés conformément à [Répartition des parts sociales]. Le contrôle [Contrôle de cohérence du capital] établit la concordance entre apports, capital, nominal, nombre et numérotation des parts.</w:t>
      </w:r>
    </w:p>
    <w:p>
      <w:pPr>
        <w:pStyle w:val="Intertitre"/>
      </w:pPr>
      <w:r>
        <w:t xml:space="preserve">Pièces relatives aux apports</w:t>
      </w:r>
    </w:p>
    <w:p>
      <w:pPr>
        <w:pStyle w:val="Corps"/>
      </w:pPr>
      <w:r>
        <w:t xml:space="preserve">Les actes de propriété, évaluations, états hypothécaires, certificats, pouvoirs, diagnostics, tableaux d'attribution et autres justificatifs utiles sont recensés dans [Annexes aux statuts] et rattachés à la version signée.</w:t>
      </w:r>
    </w:p>
    <w:p>
      <w:pPr>
        <w:pStyle w:val="Intertitre"/>
      </w:pPr>
      <w:r>
        <w:t xml:space="preserve">Droits attachés aux parts</w:t>
      </w:r>
    </w:p>
    <w:p>
      <w:pPr>
        <w:pStyle w:val="Corps"/>
      </w:pPr>
      <w:r>
        <w:t xml:space="preserve">Chaque part donne droit à une fraction proportionnelle du bénéfice, de l'actif net et du vote, sous réserve des parts d'industrie, du démembrement régulièrement organisé et des dispositions impératives. Aucune stipulation ne peut attribuer tout le profit à un associé ni exonérer totalement un autre des pertes.</w:t>
      </w:r>
    </w:p>
    <w:p>
      <w:pPr>
        <w:pStyle w:val="Intertitre"/>
      </w:pPr>
      <w:r>
        <w:t xml:space="preserve">Suivi des parts et des associés</w:t>
      </w:r>
    </w:p>
    <w:p>
      <w:pPr>
        <w:pStyle w:val="Corps"/>
      </w:pPr>
      <w:r>
        <w:t xml:space="preserve">La répartition et les mouvements de parts sont suivis sous la responsabilité de [Responsable du registre des associés] à partir des statuts, actes, décisions et formalités opposables. Les coordonnées utilisées pour les notifications figurent dans [Coordonnées des associés].</w:t>
      </w:r>
    </w:p>
    <w:p>
      <w:pPr>
        <w:pStyle w:val="Intertitre"/>
      </w:pPr>
      <w:r>
        <w:t xml:space="preserve">Indivisibilité des parts</w:t>
      </w:r>
    </w:p>
    <w:p>
      <w:pPr>
        <w:pStyle w:val="Corps"/>
      </w:pPr>
      <w:r>
        <w:t xml:space="preserve">Chaque part est indivisible à l'égard de la société. Les copropriétaires indivis se font représenter selon [Mandataire de l'indivision], sans priver aucun titulaire de son droit légal de participer aux décisions.</w:t>
      </w:r>
    </w:p>
    <w:p>
      <w:pPr>
        <w:pStyle w:val="Intertitre"/>
      </w:pPr>
      <w:r>
        <w:t xml:space="preserve"> — choisir une seule variante</w:t>
      </w:r>
    </w:p>
    <w:p>
      <w:pPr>
        <w:pStyle w:val="Variante"/>
      </w:pPr>
      <w:r>
        <w:t xml:space="preserve">Variante : Démembrement selon la répartition légale</w:t>
      </w:r>
    </w:p>
    <w:p>
      <w:pPr>
        <w:pStyle w:val="Corps"/>
      </w:pPr>
      <w:r>
        <w:t xml:space="preserve">Le nu-propriétaire et l'usufruitier participent aux décisions. Le vote appartient au nu-propriétaire, sauf pour l'affectation des bénéfices où il appartient à l'usufruitier, sous réserve d'une convention autorisée et portée à la connaissance de la société.</w:t>
      </w:r>
    </w:p>
    <w:p>
      <w:pPr>
        <w:pStyle w:val="Variante"/>
      </w:pPr>
      <w:r>
        <w:t xml:space="preserve">Variante : Démembrement avec répartition aménagée</w:t>
      </w:r>
    </w:p>
    <w:p>
      <w:pPr>
        <w:pStyle w:val="Corps"/>
      </w:pPr>
      <w:r>
        <w:t xml:space="preserve">Le nu-propriétaire et l'usufruitier participent aux décisions et exercent le vote conformément à [Répartition du vote en usufruit]. L'aménagement respecte les droits impératifs de l'usufruitier et le droit de participation de chaque titulaire.</w:t>
      </w:r>
    </w:p>
    <w:p>
      <w:pPr>
        <w:pStyle w:val="Intertitre"/>
      </w:pPr>
      <w:r>
        <w:t xml:space="preserve">Clause optionnelle : Comptes courants d'associés</w:t>
      </w:r>
    </w:p>
    <w:p>
      <w:pPr>
        <w:pStyle w:val="Corps"/>
      </w:pPr>
      <w:r>
        <w:t xml:space="preserve">Les associés peuvent mettre des fonds à disposition de la société selon [Conditions des comptes courants]. Toute rémunération au taux de [Taux du compte courant] % est autorisée et documentée selon les décisions et règles fiscales applicables.</w:t>
      </w:r>
    </w:p>
    <w:p>
      <w:pPr>
        <w:pStyle w:val="Intertitre"/>
      </w:pPr>
      <w:r>
        <w:t xml:space="preserve">Proportion des dettes sociales</w:t>
      </w:r>
    </w:p>
    <w:p>
      <w:pPr>
        <w:pStyle w:val="Corps"/>
      </w:pPr>
      <w:r>
        <w:t xml:space="preserve">La contribution de chaque associé aux dettes envers les tiers suit sa part dans le capital à la date juridiquement pertinente. Les conventions internes de répartition ne sont pas opposables au créancier et sont traitées séparément.</w:t>
      </w:r>
    </w:p>
    <w:p>
      <w:pPr>
        <w:pStyle w:val="Intertitre"/>
      </w:pPr>
      <w:r>
        <w:t xml:space="preserve">Clause optionnelle : Référence de responsabilité de l'apporteur en industrie</w:t>
      </w:r>
    </w:p>
    <w:p>
      <w:pPr>
        <w:pStyle w:val="Corps"/>
      </w:pPr>
      <w:r>
        <w:t xml:space="preserve">Pour les dettes sociales, l'associé n'ayant apporté que son industrie est tenu comme celui dont la participation au capital est la plus faible.</w:t>
      </w:r>
    </w:p>
    <w:p>
      <w:pPr>
        <w:pStyle w:val="Intertitre"/>
      </w:pPr>
      <w:r>
        <w:t xml:space="preserve">Prescription des recours contre les associés</w:t>
      </w:r>
    </w:p>
    <w:p>
      <w:pPr>
        <w:pStyle w:val="Corps"/>
      </w:pPr>
      <w:r>
        <w:t xml:space="preserve">Les recours contre les associés non liquidateurs, leurs héritiers ou ayants cause se prescrivent pendant [Durée légale des recours contre les associés après dissolution] années à compter de la publication de la dissolution de la société.</w:t>
      </w:r>
    </w:p>
    <w:p>
      <w:pPr>
        <w:pStyle w:val="Intertitre"/>
      </w:pPr>
      <w:r>
        <w:t xml:space="preserve">Procédure affectant un associé</w:t>
      </w:r>
    </w:p>
    <w:p>
      <w:pPr>
        <w:pStyle w:val="Corps"/>
      </w:pPr>
      <w:r>
        <w:t xml:space="preserve">La déconfiture ou une procédure personnelle affectant un associé produit les conséquences prévues par la loi et par [Partner insolvency terms]. La valeur de ses droits est déterminée selon le mécanisme applicable et la continuité de la société est décidée régulièrement.</w:t>
      </w:r>
    </w:p>
    <w:p>
      <w:pPr>
        <w:pStyle w:val="Intertitre"/>
      </w:pPr>
      <w:r>
        <w:t xml:space="preserve">Droit permanent d'information</w:t>
      </w:r>
    </w:p>
    <w:p>
      <w:pPr>
        <w:pStyle w:val="Corps"/>
      </w:pPr>
      <w:r>
        <w:t xml:space="preserve">Chaque associé peut obtenir communication des livres et documents sociaux recensés dans [Documents d'information des associés] selon la périodicité et les modalités légales applicables. Les questions écrites sur la gestion reçoivent une réponse dans le délai impératif vérifié.</w:t>
      </w:r>
    </w:p>
    <w:p>
      <w:pPr>
        <w:pStyle w:val="Intertitre"/>
      </w:pPr>
      <w:r>
        <w:t xml:space="preserve">Organisation de la Gérance</w:t>
      </w:r>
    </w:p>
    <w:p>
      <w:pPr>
        <w:pStyle w:val="Corps"/>
      </w:pPr>
      <w:r>
        <w:t xml:space="preserve">La société est administrée par un ou plusieurs Gérants, associés ou non, personnes physiques ou morales selon la variante retenue. Les règles de désignation, d'organisation et de cessation des fonctions résultent des présents statuts et de l'acte de nomination.</w:t>
      </w:r>
    </w:p>
    <w:p>
      <w:pPr>
        <w:pStyle w:val="Intertitre"/>
      </w:pPr>
      <w:r>
        <w:t xml:space="preserve"> — choisir une seule variante</w:t>
      </w:r>
    </w:p>
    <w:p>
      <w:pPr>
        <w:pStyle w:val="Variante"/>
      </w:pPr>
      <w:r>
        <w:t xml:space="preserve">Variante : Gérant personne physique</w:t>
      </w:r>
    </w:p>
    <w:p>
      <w:pPr>
        <w:pStyle w:val="Corps"/>
      </w:pPr>
      <w:r>
        <w:t xml:space="preserve">Le Gérant est une personne physique dont l'identité et la capacité sont décrites par [Identité du Gérant] et [Nature et capacité du Gérant]. Les incompatibilités, pouvoirs et déclarations nécessaires sont vérifiés avant l'entrée en fonction.</w:t>
      </w:r>
    </w:p>
    <w:p>
      <w:pPr>
        <w:pStyle w:val="Variante"/>
      </w:pPr>
      <w:r>
        <w:t xml:space="preserve">Variante : Gérant personne morale</w:t>
      </w:r>
    </w:p>
    <w:p>
      <w:pPr>
        <w:pStyle w:val="Corps"/>
      </w:pPr>
      <w:r>
        <w:t xml:space="preserve">La Gérance est confiée à [Identité du Gérant personne morale], personne morale régulièrement représentée par [Représentant permanent du Gérant personne morale]. Les dirigeants de cette personne morale sont soumis aux conditions, obligations et responsabilités attachées à la Gérance, sans préjudice de la responsabilité propre de la personne morale.</w:t>
      </w:r>
    </w:p>
    <w:p>
      <w:pPr>
        <w:pStyle w:val="Intertitre"/>
      </w:pPr>
      <w:r>
        <w:t xml:space="preserve"> — choisir une seule variante</w:t>
      </w:r>
    </w:p>
    <w:p>
      <w:pPr>
        <w:pStyle w:val="Variante"/>
      </w:pPr>
      <w:r>
        <w:t xml:space="preserve">Variante : Nomination du Gérant dans les statuts</w:t>
      </w:r>
    </w:p>
    <w:p>
      <w:pPr>
        <w:pStyle w:val="Corps"/>
      </w:pPr>
      <w:r>
        <w:t xml:space="preserve">[Identité du Gérant] est nommé Gérant par les présents statuts, accepte ses fonctions selon [Acceptation des fonctions] et déclare satisfaire aux conditions requises. Son adresse ou siège est [Adresse du Gérant].</w:t>
      </w:r>
    </w:p>
    <w:p>
      <w:pPr>
        <w:pStyle w:val="Variante"/>
      </w:pPr>
      <w:r>
        <w:t xml:space="preserve">Variante : Nomination du Gérant par acte séparé</w:t>
      </w:r>
    </w:p>
    <w:p>
      <w:pPr>
        <w:pStyle w:val="Corps"/>
      </w:pPr>
      <w:r>
        <w:t xml:space="preserve">Le premier Gérant est nommé par un acte distinct adopté selon les règles statutaires et conservé avec le dossier constitutif. Cet acte identifie [Identité du Gérant], constate [Acceptation des fonctions] et fixe la durée et la rémunération éventuelle.</w:t>
      </w:r>
    </w:p>
    <w:p>
      <w:pPr>
        <w:pStyle w:val="Intertitre"/>
      </w:pPr>
      <w:r>
        <w:t xml:space="preserve"> — choisir une seule variante</w:t>
      </w:r>
    </w:p>
    <w:p>
      <w:pPr>
        <w:pStyle w:val="Variante"/>
      </w:pPr>
      <w:r>
        <w:t xml:space="preserve">Variante : Gérance unique</w:t>
      </w:r>
    </w:p>
    <w:p>
      <w:pPr>
        <w:pStyle w:val="Corps"/>
      </w:pPr>
      <w:r>
        <w:t xml:space="preserve">La société est dirigée par un Gérant unique. Toute vacance est traitée sans délai afin d'assurer la représentation, la conservation des actifs et la continuité des formalités sociales.</w:t>
      </w:r>
    </w:p>
    <w:p>
      <w:pPr>
        <w:pStyle w:val="Variante"/>
      </w:pPr>
      <w:r>
        <w:t xml:space="preserve">Variante : Co-Gérance</w:t>
      </w:r>
    </w:p>
    <w:p>
      <w:pPr>
        <w:pStyle w:val="Corps"/>
      </w:pPr>
      <w:r>
        <w:t xml:space="preserve">La société est dirigée par plusieurs Co-Gérants. Chacun dispose séparément des pouvoirs externes attachés à la fonction ; leur coordination interne est organisée par [Coordination des Co-Gérants].</w:t>
      </w:r>
    </w:p>
    <w:p>
      <w:pPr>
        <w:pStyle w:val="Intertitre"/>
      </w:pPr>
      <w:r>
        <w:t xml:space="preserve"> — choisir une seule variante</w:t>
      </w:r>
    </w:p>
    <w:p>
      <w:pPr>
        <w:pStyle w:val="Variante"/>
      </w:pPr>
      <w:r>
        <w:t xml:space="preserve">Variante : Gérance pour la durée de la société</w:t>
      </w:r>
    </w:p>
    <w:p>
      <w:pPr>
        <w:pStyle w:val="Corps"/>
      </w:pPr>
      <w:r>
        <w:t xml:space="preserve">Le Gérant est nommé pour la durée de la société, sous réserve de démission, révocation, incapacité, disparition de la personne morale ou autre cause de cessation régulièrement constatée.</w:t>
      </w:r>
    </w:p>
    <w:p>
      <w:pPr>
        <w:pStyle w:val="Variante"/>
      </w:pPr>
      <w:r>
        <w:t xml:space="preserve">Variante : Gérance à durée déterminée</w:t>
      </w:r>
    </w:p>
    <w:p>
      <w:pPr>
        <w:pStyle w:val="Corps"/>
      </w:pPr>
      <w:r>
        <w:t xml:space="preserve">Le Gérant est nommé pour [Durée du mandat du Gérant] années. À l'échéance, le mandat cesse sauf renouvellement régulier ; les mesures conservatoires et la remise des documents sont assurées jusqu'au remplacement effectif.</w:t>
      </w:r>
    </w:p>
    <w:p>
      <w:pPr>
        <w:pStyle w:val="Intertitre"/>
      </w:pPr>
      <w:r>
        <w:t xml:space="preserve">Pouvoirs dans les rapports internes</w:t>
      </w:r>
    </w:p>
    <w:p>
      <w:pPr>
        <w:pStyle w:val="Corps"/>
      </w:pPr>
      <w:r>
        <w:t xml:space="preserve">Dans les rapports entre associés, la Gérance accomplit les actes de gestion nécessaires à l'objet social. En présence de plusieurs Gérants, chacun exerce séparément ces pouvoirs, sous réserve du droit d'opposition exercé avant la conclusion de l'opération.</w:t>
      </w:r>
    </w:p>
    <w:p>
      <w:pPr>
        <w:pStyle w:val="Intertitre"/>
      </w:pPr>
      <w:r>
        <w:t xml:space="preserve">Pouvoirs à l'égard des tiers</w:t>
      </w:r>
    </w:p>
    <w:p>
      <w:pPr>
        <w:pStyle w:val="Corps"/>
      </w:pPr>
      <w:r>
        <w:t xml:space="preserve">À l'égard des tiers, le Gérant engage la société par les actes entrant dans l'objet social. En cas de pluralité, chaque Gérant détient séparément ces pouvoirs ; une opposition interne n'est opposable au tiers que si sa connaissance est établie.</w:t>
      </w:r>
    </w:p>
    <w:p>
      <w:pPr>
        <w:pStyle w:val="Intertitre"/>
      </w:pPr>
      <w:r>
        <w:t xml:space="preserve">Clause optionnelle : Limites internes de la Gérance</w:t>
      </w:r>
    </w:p>
    <w:p>
      <w:pPr>
        <w:pStyle w:val="Corps"/>
      </w:pPr>
      <w:r>
        <w:t xml:space="preserve">Les actes décrits par [Limites internes des pouvoirs] et ceux excédant [Seuil d'autorisation de la gérance] exigent une autorisation préalable. Ces limites statutaires demeurent inopposables aux tiers et organisent seulement les rapports internes.</w:t>
      </w:r>
    </w:p>
    <w:p>
      <w:pPr>
        <w:pStyle w:val="Intertitre"/>
      </w:pPr>
      <w:r>
        <w:t xml:space="preserve">Clause optionnelle : Opposition entre Co-Gérants</w:t>
      </w:r>
    </w:p>
    <w:p>
      <w:pPr>
        <w:pStyle w:val="Corps"/>
      </w:pPr>
      <w:r>
        <w:t xml:space="preserve">Chaque Co-Gérant informe les autres des actes significatifs selon [Coordination des Co-Gérants]. L'opposition à l'acte d'un autre Gérant est exercée avant sa conclusion et n'affecte le tiers que si sa connaissance est prouvée.</w:t>
      </w:r>
    </w:p>
    <w:p>
      <w:pPr>
        <w:pStyle w:val="Intertitre"/>
      </w:pPr>
      <w:r>
        <w:t xml:space="preserve">Clause optionnelle : Rémunération de la Gérance</w:t>
      </w:r>
    </w:p>
    <w:p>
      <w:pPr>
        <w:pStyle w:val="Corps"/>
      </w:pPr>
      <w:r>
        <w:t xml:space="preserve">La rémunération du Gérant est déterminée selon [Rémunération du Gérant] par une décision distincte et traçable. Elle n'emporte ni contrat de travail ni remboursement automatique des dépenses.</w:t>
      </w:r>
    </w:p>
    <w:p>
      <w:pPr>
        <w:pStyle w:val="Intertitre"/>
      </w:pPr>
      <w:r>
        <w:t xml:space="preserve">Frais de la Gérance</w:t>
      </w:r>
    </w:p>
    <w:p>
      <w:pPr>
        <w:pStyle w:val="Corps"/>
      </w:pPr>
      <w:r>
        <w:t xml:space="preserve">Les dépenses engagées dans l'intérêt de la société sont remboursées selon [Remboursement des frais de gérance], sur justificatifs et après le contrôle requis. Les dépenses personnelles restent à la charge du Gérant.</w:t>
      </w:r>
    </w:p>
    <w:p>
      <w:pPr>
        <w:pStyle w:val="Intertitre"/>
      </w:pPr>
      <w:r>
        <w:t xml:space="preserve">Clause optionnelle : Délégations spéciales</w:t>
      </w:r>
    </w:p>
    <w:p>
      <w:pPr>
        <w:pStyle w:val="Corps"/>
      </w:pPr>
      <w:r>
        <w:t xml:space="preserve">Le Gérant peut consentir une délégation spéciale conforme à [Délégation de pouvoirs]. Elle identifie son objet, sa durée, son titulaire, ses moyens et son contrôle sans transférer les compétences réservées aux associés.</w:t>
      </w:r>
    </w:p>
    <w:p>
      <w:pPr>
        <w:pStyle w:val="Intertitre"/>
      </w:pPr>
      <w:r>
        <w:t xml:space="preserve">Diligence et responsabilité du Gérant</w:t>
      </w:r>
    </w:p>
    <w:p>
      <w:pPr>
        <w:pStyle w:val="Corps"/>
      </w:pPr>
      <w:r>
        <w:t xml:space="preserve">Le Gérant agit dans l'intérêt social, respecte la loi et les statuts, rend compte de sa gestion et conserve les preuves de ses décisions. Sa responsabilité envers la société et les tiers est appréciée au regard des manquements légaux, violations statutaires et fautes de gestion qui lui sont imputables.</w:t>
      </w:r>
    </w:p>
    <w:p>
      <w:pPr>
        <w:pStyle w:val="Intertitre"/>
      </w:pPr>
      <w:r>
        <w:t xml:space="preserve">Révocation du Gérant</w:t>
      </w:r>
    </w:p>
    <w:p>
      <w:pPr>
        <w:pStyle w:val="Corps"/>
      </w:pPr>
      <w:r>
        <w:t xml:space="preserve">Sauf majorité statutaire différente, le Gérant est révocable par des associés représentant plus de [Seuil légal supplétif de révocation du Gérant] % des parts. Une révocation sans juste motif peut ouvrir droit à réparation ; la révocation judiciaire pour cause légitime demeure possible.</w:t>
      </w:r>
    </w:p>
    <w:p>
      <w:pPr>
        <w:pStyle w:val="Intertitre"/>
      </w:pPr>
      <w:r>
        <w:t xml:space="preserve">Démission du Gérant</w:t>
      </w:r>
    </w:p>
    <w:p>
      <w:pPr>
        <w:pStyle w:val="Corps"/>
      </w:pPr>
      <w:r>
        <w:t xml:space="preserve">Le Gérant notifie sa démission avec un préavis de [Préavis de démission], sauf motif légitime ou impossibilité. Il remet les documents, signale les échéances, facilite son remplacement et fait accomplir la publicité de la cessation de ses fonctions.</w:t>
      </w:r>
    </w:p>
    <w:p>
      <w:pPr>
        <w:pStyle w:val="Intertitre"/>
      </w:pPr>
      <w:r>
        <w:t xml:space="preserve">Vacance de la Gérance</w:t>
      </w:r>
    </w:p>
    <w:p>
      <w:pPr>
        <w:pStyle w:val="Corps"/>
      </w:pPr>
      <w:r>
        <w:t xml:space="preserve">Lorsque la société est dépourvue de Gérant, tout associé peut réunir les associés ou demander la désignation d'un mandataire chargé de provoquer la nomination. Une vacance continue pendant [Durée légale de vacance de Gérance avant dissolution possible] année expose la société à une demande de dissolution judiciaire.</w:t>
      </w:r>
    </w:p>
    <w:p>
      <w:pPr>
        <w:pStyle w:val="Intertitre"/>
      </w:pPr>
      <w:r>
        <w:t xml:space="preserve">Compétence des associés</w:t>
      </w:r>
    </w:p>
    <w:p>
      <w:pPr>
        <w:pStyle w:val="Corps"/>
      </w:pPr>
      <w:r>
        <w:t xml:space="preserve">Les décisions qui excèdent les pouvoirs reconnus à la Gérance sont prises par les associés selon la variante statutaire retenue. Aucune majorité ne peut supprimer un droit impératif ni augmenter l'engagement d'un associé sans son consentement.</w:t>
      </w:r>
    </w:p>
    <w:p>
      <w:pPr>
        <w:pStyle w:val="Intertitre"/>
      </w:pPr>
      <w:r>
        <w:t xml:space="preserve"> — choisir une seule variante</w:t>
      </w:r>
    </w:p>
    <w:p>
      <w:pPr>
        <w:pStyle w:val="Variante"/>
      </w:pPr>
      <w:r>
        <w:t xml:space="preserve">Variante : Décisions à l'unanimité</w:t>
      </w:r>
    </w:p>
    <w:p>
      <w:pPr>
        <w:pStyle w:val="Corps"/>
      </w:pPr>
      <w:r>
        <w:t xml:space="preserve">Les décisions excédant les pouvoirs de la Gérance sont prises à l'unanimité des associés. Cette règle s'applique tant qu'aucune majorité statutaire valable n'est expressément prévue pour la décision concernée.</w:t>
      </w:r>
    </w:p>
    <w:p>
      <w:pPr>
        <w:pStyle w:val="Variante"/>
      </w:pPr>
      <w:r>
        <w:t xml:space="preserve">Variante : Décisions selon des majorités statutaires</w:t>
      </w:r>
    </w:p>
    <w:p>
      <w:pPr>
        <w:pStyle w:val="Corps"/>
      </w:pPr>
      <w:r>
        <w:t xml:space="preserve">Les décisions ordinaires sont adoptées à [Majorité des décisions ordinaires] % des voix et les modifications statutaires à [Majorité des modifications statutaires] %, sous réserve des décisions exigeant légalement le consentement de chaque associé.</w:t>
      </w:r>
    </w:p>
    <w:p>
      <w:pPr>
        <w:pStyle w:val="Intertitre"/>
      </w:pPr>
      <w:r>
        <w:t xml:space="preserve">Convocation des associés</w:t>
      </w:r>
    </w:p>
    <w:p>
      <w:pPr>
        <w:pStyle w:val="Corps"/>
      </w:pPr>
      <w:r>
        <w:t xml:space="preserve">Les associés sont convoqués selon [Mode de convocation] avec un délai de [Délai de convocation]. La convocation indique l'ordre du jour, les projets de décision et les documents nécessaires à un vote éclairé.</w:t>
      </w:r>
    </w:p>
    <w:p>
      <w:pPr>
        <w:pStyle w:val="Intertitre"/>
      </w:pPr>
      <w:r>
        <w:t xml:space="preserve">Participation et représentation</w:t>
      </w:r>
    </w:p>
    <w:p>
      <w:pPr>
        <w:pStyle w:val="Corps"/>
      </w:pPr>
      <w:r>
        <w:t xml:space="preserve">Tout associé participe aux décisions et se fait représenter selon [Representation terms]. Les pouvoirs sont vérifiés pour chaque séance et rattachés au procès-verbal.</w:t>
      </w:r>
    </w:p>
    <w:p>
      <w:pPr>
        <w:pStyle w:val="Intertitre"/>
      </w:pPr>
      <w:r>
        <w:t xml:space="preserve">Clause optionnelle : Consultation écrite</w:t>
      </w:r>
    </w:p>
    <w:p>
      <w:pPr>
        <w:pStyle w:val="Corps"/>
      </w:pPr>
      <w:r>
        <w:t xml:space="preserve">Les décisions admissibles sont soumises aux associés avec les documents et projets nécessaires. Ils disposent de [Délai de consultation écrite] pour répondre ; la preuve de remise et chaque réponse sont conservées.</w:t>
      </w:r>
    </w:p>
    <w:p>
      <w:pPr>
        <w:pStyle w:val="Intertitre"/>
      </w:pPr>
      <w:r>
        <w:t xml:space="preserve">Clause optionnelle : Consentement unanime dans un acte</w:t>
      </w:r>
    </w:p>
    <w:p>
      <w:pPr>
        <w:pStyle w:val="Corps"/>
      </w:pPr>
      <w:r>
        <w:t xml:space="preserve">Une décision peut résulter du consentement unanime des associés exprimé dans un acte. L'acte identifie chaque associé, reproduit le texte adopté et constate un consentement sans réserve avant son inscription au registre.</w:t>
      </w:r>
    </w:p>
    <w:p>
      <w:pPr>
        <w:pStyle w:val="Intertitre"/>
      </w:pPr>
      <w:r>
        <w:t xml:space="preserve">Clause optionnelle : Participation à distance</w:t>
      </w:r>
    </w:p>
    <w:p>
      <w:pPr>
        <w:pStyle w:val="Corps"/>
      </w:pPr>
      <w:r>
        <w:t xml:space="preserve">La participation à distance est organisée au moyen de [Système de participation à distance] pour les décisions qui l'autorisent. Le dispositif garantit l'identification, la continuité des débats, le vote et la conservation de la preuve.</w:t>
      </w:r>
    </w:p>
    <w:p>
      <w:pPr>
        <w:pStyle w:val="Intertitre"/>
      </w:pPr>
      <w:r>
        <w:t xml:space="preserve">Information préalable</w:t>
      </w:r>
    </w:p>
    <w:p>
      <w:pPr>
        <w:pStyle w:val="Corps"/>
      </w:pPr>
      <w:r>
        <w:t xml:space="preserve">Les associés reçoivent [Documents d'information des associés] avant la décision. L'accès aux documents et les réponses de la Gérance sont organisés de manière traçable sans restreindre les droits légaux d'information.</w:t>
      </w:r>
    </w:p>
    <w:p>
      <w:pPr>
        <w:pStyle w:val="Intertitre"/>
      </w:pPr>
      <w:r>
        <w:t xml:space="preserve">Procès-verbaux et registre</w:t>
      </w:r>
    </w:p>
    <w:p>
      <w:pPr>
        <w:pStyle w:val="Corps"/>
      </w:pPr>
      <w:r>
        <w:t xml:space="preserve">[Responsable du registre des décisions] établit et conserve les procès-verbaux sur un registre régulier. Chaque inscription mentionne la date, le mode de décision, les associés participants, les parts ou voix, les documents, le texte adopté et le résultat.</w:t>
      </w:r>
    </w:p>
    <w:p>
      <w:pPr>
        <w:pStyle w:val="Intertitre"/>
      </w:pPr>
      <w:r>
        <w:t xml:space="preserve">Compte rendu annuel de Gérance</w:t>
      </w:r>
    </w:p>
    <w:p>
      <w:pPr>
        <w:pStyle w:val="Corps"/>
      </w:pPr>
      <w:r>
        <w:t xml:space="preserve">La Gérance rend compte de sa gestion au moins [Fréquence annuelle minimale du compte rendu de Gérance] fois par année par [Compte rendu annuel de Gérance], comprenant un rapport écrit sur l'activité et l'indication des bénéfices réalisés ou prévisibles et des pertes encourues ou prévues.</w:t>
      </w:r>
    </w:p>
    <w:p>
      <w:pPr>
        <w:pStyle w:val="Intertitre"/>
      </w:pPr>
      <w:r>
        <w:t xml:space="preserve">Clause optionnelle : Consultation préalable des branches familiales</w:t>
      </w:r>
    </w:p>
    <w:p>
      <w:pPr>
        <w:pStyle w:val="Corps"/>
      </w:pPr>
      <w:r>
        <w:t xml:space="preserve">Lorsque la décision intéresse plusieurs branches familiales, une consultation préparatoire est organisée selon [Modalités de consultation des branches familiales]. Elle demeure consultative et ne modifie ni les droits de vote ni la majorité statutaire.</w:t>
      </w:r>
    </w:p>
    <w:p>
      <w:pPr>
        <w:pStyle w:val="Intertitre"/>
      </w:pPr>
      <w:r>
        <w:t xml:space="preserve">Périmètre de l'agrément renforcé</w:t>
      </w:r>
    </w:p>
    <w:p>
      <w:pPr>
        <w:pStyle w:val="Corps"/>
      </w:pPr>
      <w:r>
        <w:t xml:space="preserve">L'agrément s'applique aux opérations recensées dans [Périmètre de l'agrément renforcé], notamment les cessions, donations, échanges, apports, transmissions entre associés ou au profit d'un conjoint, ascendant ou descendant. Aucune dispense n'est présumée.</w:t>
      </w:r>
    </w:p>
    <w:p>
      <w:pPr>
        <w:pStyle w:val="Intertitre"/>
      </w:pPr>
      <w:r>
        <w:t xml:space="preserve"> — choisir une seule variante</w:t>
      </w:r>
    </w:p>
    <w:p>
      <w:pPr>
        <w:pStyle w:val="Variante"/>
      </w:pPr>
      <w:r>
        <w:t xml:space="preserve">Variante : Agrément renforcé à l'unanimité</w:t>
      </w:r>
    </w:p>
    <w:p>
      <w:pPr>
        <w:pStyle w:val="Corps"/>
      </w:pPr>
      <w:r>
        <w:t xml:space="preserve">Toute opération entrant dans le périmètre de l'agrément renforcé exige l'accord unanime des associés autres que le cédant lorsque son abstention est requise par [Transfer voting terms]. Le projet est notifié à la société et aux associés avant toute décision.</w:t>
      </w:r>
    </w:p>
    <w:p>
      <w:pPr>
        <w:pStyle w:val="Variante"/>
      </w:pPr>
      <w:r>
        <w:t xml:space="preserve">Variante : Agrément renforcé à la majorité statutaire</w:t>
      </w:r>
    </w:p>
    <w:p>
      <w:pPr>
        <w:pStyle w:val="Corps"/>
      </w:pPr>
      <w:r>
        <w:t xml:space="preserve">Toute opération entrant dans le périmètre de l'agrément renforcé exige la majorité [Majorité d'agrément] définie par les statuts, selon [Transfer voting terms]. La majorité est calculée après vérification des parts, droits de vote et conflits d'intérêts.</w:t>
      </w:r>
    </w:p>
    <w:p>
      <w:pPr>
        <w:pStyle w:val="Intertitre"/>
      </w:pPr>
      <w:r>
        <w:t xml:space="preserve">Agrément des cessions entre associés</w:t>
      </w:r>
    </w:p>
    <w:p>
      <w:pPr>
        <w:pStyle w:val="Corps"/>
      </w:pPr>
      <w:r>
        <w:t xml:space="preserve">Les cessions entre associés sont soumises à [Cession entre associés] et à l'agrément renforcé. Cette restriction s'applique sans priver le cédant des mécanismes légaux de rachat après refus.</w:t>
      </w:r>
    </w:p>
    <w:p>
      <w:pPr>
        <w:pStyle w:val="Intertitre"/>
      </w:pPr>
      <w:r>
        <w:t xml:space="preserve">Agrément des transmissions familiales</w:t>
      </w:r>
    </w:p>
    <w:p>
      <w:pPr>
        <w:pStyle w:val="Corps"/>
      </w:pPr>
      <w:r>
        <w:t xml:space="preserve">Les cessions ou transmissions au conjoint, à un ascendant ou à un descendant sont soumises à [Transmission familiale] et à l'agrément renforcé. Les actes entre époux respectent les exigences de forme et de date certaine.</w:t>
      </w:r>
    </w:p>
    <w:p>
      <w:pPr>
        <w:pStyle w:val="Intertitre"/>
      </w:pPr>
      <w:r>
        <w:t xml:space="preserve">Agrément des droits démembrés</w:t>
      </w:r>
    </w:p>
    <w:p>
      <w:pPr>
        <w:pStyle w:val="Corps"/>
      </w:pPr>
      <w:r>
        <w:t xml:space="preserve">Le transfert séparé de la nue-propriété, de l'usufruit ou de tout droit démembré sur les parts suit [Agrément des transmissions démembrées] et la même procédure d'agrément renforcé, sans modifier les droits de participation et de vote autrement que par une clause valable.</w:t>
      </w:r>
    </w:p>
    <w:p>
      <w:pPr>
        <w:pStyle w:val="Intertitre"/>
      </w:pPr>
      <w:r>
        <w:t xml:space="preserve">Notification du projet de cession</w:t>
      </w:r>
    </w:p>
    <w:p>
      <w:pPr>
        <w:pStyle w:val="Corps"/>
      </w:pPr>
      <w:r>
        <w:t xml:space="preserve">Le projet de cession est notifié selon [Notification du projet de cession] à la société et, lorsque la procédure l'exige, à chacun des associés. Le délai de [Délai de décision d'agrément] court à compter de la dernière notification requise.</w:t>
      </w:r>
    </w:p>
    <w:p>
      <w:pPr>
        <w:pStyle w:val="Intertitre"/>
      </w:pPr>
      <w:r>
        <w:t xml:space="preserve"> — choisir une seule variante</w:t>
      </w:r>
    </w:p>
    <w:p>
      <w:pPr>
        <w:pStyle w:val="Variante"/>
      </w:pPr>
      <w:r>
        <w:t xml:space="preserve">Variante : Absence de préemption statutaire</w:t>
      </w:r>
    </w:p>
    <w:p>
      <w:pPr>
        <w:pStyle w:val="Corps"/>
      </w:pPr>
      <w:r>
        <w:t xml:space="preserve">La procédure d'agrément renforcé s'applique sans droit statutaire de préemption préalable. Cette absence ne supprime aucun mécanisme légal de rachat après refus d'agrément.</w:t>
      </w:r>
    </w:p>
    <w:p>
      <w:pPr>
        <w:pStyle w:val="Variante"/>
      </w:pPr>
      <w:r>
        <w:t xml:space="preserve">Variante : Préemption des associés</w:t>
      </w:r>
    </w:p>
    <w:p>
      <w:pPr>
        <w:pStyle w:val="Corps"/>
      </w:pPr>
      <w:r>
        <w:t xml:space="preserve">Le projet est notifié selon [Notification de préemption]. Les associés disposent de [Délai d'exercice de la préemption] pour préempter ; les demandes concurrentes sont réparties selon [Répartition des parts préemptées] avant la décision d'agrément.</w:t>
      </w:r>
    </w:p>
    <w:p>
      <w:pPr>
        <w:pStyle w:val="Intertitre"/>
      </w:pPr>
      <w:r>
        <w:t xml:space="preserve">Conséquences du refus d'agrément</w:t>
      </w:r>
    </w:p>
    <w:p>
      <w:pPr>
        <w:pStyle w:val="Corps"/>
      </w:pPr>
      <w:r>
        <w:t xml:space="preserve">En cas de refus, les associés ou un tiers désigné acquièrent les parts, ou la société les rachète en vue de leur annulation, dans [Délai de rachat après refus]. Le cédant reçoit l'identité de l'acquéreur et le prix proposé et peut conserver ses parts.</w:t>
      </w:r>
    </w:p>
    <w:p>
      <w:pPr>
        <w:pStyle w:val="Intertitre"/>
      </w:pPr>
      <w:r>
        <w:t xml:space="preserve">Détermination du prix des parts</w:t>
      </w:r>
    </w:p>
    <w:p>
      <w:pPr>
        <w:pStyle w:val="Corps"/>
      </w:pPr>
      <w:r>
        <w:t xml:space="preserve">Le prix est déterminé selon [Méthode de fixation du prix]. En cas de désaccord dans un cas prévu par la loi, la valeur des droits sociaux est fixée par l'expert désigné selon le mécanisme applicable.</w:t>
      </w:r>
    </w:p>
    <w:p>
      <w:pPr>
        <w:pStyle w:val="Intertitre"/>
      </w:pPr>
      <w:r>
        <w:t xml:space="preserve">Écrit et opposabilité de la cession</w:t>
      </w:r>
    </w:p>
    <w:p>
      <w:pPr>
        <w:pStyle w:val="Corps"/>
      </w:pPr>
      <w:r>
        <w:t xml:space="preserve">Toute cession est constatée par écrit et rendue opposable à la société selon [Transfer opposability method]. Elle n'est opposable aux tiers qu'après les formalités et la publication requises.</w:t>
      </w:r>
    </w:p>
    <w:p>
      <w:pPr>
        <w:pStyle w:val="Intertitre"/>
      </w:pPr>
      <w:r>
        <w:t xml:space="preserve">Clause optionnelle : Forme de la cession à prépondérance immobilière</w:t>
      </w:r>
    </w:p>
    <w:p>
      <w:pPr>
        <w:pStyle w:val="Corps"/>
      </w:pPr>
      <w:r>
        <w:t xml:space="preserve">Lorsque le régime relatif à une personne morale à prépondérance immobilière est applicable, l'acte de cession respecte [Real estate transfer form] et les obligations professionnelles correspondantes. Cette qualification est vérifiée à la date de l'acte.</w:t>
      </w:r>
    </w:p>
    <w:p>
      <w:pPr>
        <w:pStyle w:val="Intertitre"/>
      </w:pPr>
      <w:r>
        <w:t xml:space="preserve">Clause optionnelle : Agrément d'un nantissement de parts</w:t>
      </w:r>
    </w:p>
    <w:p>
      <w:pPr>
        <w:pStyle w:val="Corps"/>
      </w:pPr>
      <w:r>
        <w:t xml:space="preserve">Le projet de nantissement est soumis à [Agrément d'un nantissement] selon les conditions d'agrément d'une cession. Le consentement donné produit les effets prévus en cas de réalisation forcée.</w:t>
      </w:r>
    </w:p>
    <w:p>
      <w:pPr>
        <w:pStyle w:val="Intertitre"/>
      </w:pPr>
      <w:r>
        <w:t xml:space="preserve">Réalisation forcée des parts</w:t>
      </w:r>
    </w:p>
    <w:p>
      <w:pPr>
        <w:pStyle w:val="Corps"/>
      </w:pPr>
      <w:r>
        <w:t xml:space="preserve">Toute réalisation forcée non déjà agréée est notifiée dans le délai légal. Les associés et la société peuvent exercer les facultés d'acquisition, de substitution ou de rachat en vue de l'annulation selon [Forced sale terms].</w:t>
      </w:r>
    </w:p>
    <w:p>
      <w:pPr>
        <w:pStyle w:val="Intertitre"/>
      </w:pPr>
      <w:r>
        <w:t xml:space="preserve">Clause optionnelle : Inaliénabilité temporaire</w:t>
      </w:r>
    </w:p>
    <w:p>
      <w:pPr>
        <w:pStyle w:val="Corps"/>
      </w:pPr>
      <w:r>
        <w:t xml:space="preserve">Les parts désignées sont temporairement inaliénables pendant [Durée de l'inaliénabilité] en raison de [Intérêt légitime de l'inaliénabilité]. La levée ou l'aménagement de cette restriction suit [Conditions de levée de l'inaliénabilité] et ne fait pas obstacle aux droits impératifs.</w:t>
      </w:r>
    </w:p>
    <w:p>
      <w:pPr>
        <w:pStyle w:val="Intertitre"/>
      </w:pPr>
      <w:r>
        <w:t xml:space="preserve">Clause optionnelle : Donation ou donation-partage de parts</w:t>
      </w:r>
    </w:p>
    <w:p>
      <w:pPr>
        <w:pStyle w:val="Corps"/>
      </w:pPr>
      <w:r>
        <w:t xml:space="preserve">Le projet [Projet de donation-partage] demeure soumis à l'agrément renforcé, aux règles relatives aux droits démembrés et à la revue [Revue notariale et fiscale de la donation]. Les présents statuts ne réalisent pas eux-mêmes la donation.</w:t>
      </w:r>
    </w:p>
    <w:p>
      <w:pPr>
        <w:pStyle w:val="Intertitre"/>
      </w:pPr>
      <w:r>
        <w:t xml:space="preserve">Clause optionnelle : Liquidation du régime matrimonial et séparation</w:t>
      </w:r>
    </w:p>
    <w:p>
      <w:pPr>
        <w:pStyle w:val="Corps"/>
      </w:pPr>
      <w:r>
        <w:t xml:space="preserve">Le sort des parts lors d'une liquidation de régime matrimonial suit [Liquidation du régime matrimonial]. Toute attribution ou cession consécutive à une séparation ou un divorce est traitée selon [Traitement des parts en cas de séparation] et la procédure d'agrément applicable.</w:t>
      </w:r>
    </w:p>
    <w:p>
      <w:pPr>
        <w:pStyle w:val="Intertitre"/>
      </w:pPr>
      <w:r>
        <w:t xml:space="preserve">Clause optionnelle : Retrait total ou partiel d'un associé</w:t>
      </w:r>
    </w:p>
    <w:p>
      <w:pPr>
        <w:pStyle w:val="Corps"/>
      </w:pPr>
      <w:r>
        <w:t xml:space="preserve">Un associé peut se retirer totalement ou partiellement selon [Conditions du retrait d'un associé] et après un préavis de [Préavis de retrait]. À défaut d'accord conforme aux statuts, le retrait exige l'unanimité des autres associés ou une autorisation judiciaire pour justes motifs.</w:t>
      </w:r>
    </w:p>
    <w:p>
      <w:pPr>
        <w:pStyle w:val="Intertitre"/>
      </w:pPr>
      <w:r>
        <w:t xml:space="preserve">Clause optionnelle : Remboursement des droits de l'associé sortant</w:t>
      </w:r>
    </w:p>
    <w:p>
      <w:pPr>
        <w:pStyle w:val="Corps"/>
      </w:pPr>
      <w:r>
        <w:t xml:space="preserve">L'associé qui se retire reçoit la valeur de ses droits déterminée selon [Méthode de fixation du prix]. Le paiement, la réduction éventuelle du capital et la publication du retrait sont coordonnés sans porter atteinte aux droits des créanciers.</w:t>
      </w:r>
    </w:p>
    <w:p>
      <w:pPr>
        <w:pStyle w:val="Intertitre"/>
      </w:pPr>
      <w:r>
        <w:t xml:space="preserve"> — choisir une seule variante</w:t>
      </w:r>
    </w:p>
    <w:p>
      <w:pPr>
        <w:pStyle w:val="Variante"/>
      </w:pPr>
      <w:r>
        <w:t xml:space="preserve">Variante : Continuation avec les héritiers</w:t>
      </w:r>
    </w:p>
    <w:p>
      <w:pPr>
        <w:pStyle w:val="Corps"/>
      </w:pPr>
      <w:r>
        <w:t xml:space="preserve">Au décès d'un associé, la société continue avec ses héritiers ou légataires selon [Continuation au décès]. Les ayants droit justifient leur qualité et désignent un représentant en cas d'indivision.</w:t>
      </w:r>
    </w:p>
    <w:p>
      <w:pPr>
        <w:pStyle w:val="Variante"/>
      </w:pPr>
      <w:r>
        <w:t xml:space="preserve">Variante : Continuation entre associés survivants</w:t>
      </w:r>
    </w:p>
    <w:p>
      <w:pPr>
        <w:pStyle w:val="Corps"/>
      </w:pPr>
      <w:r>
        <w:t xml:space="preserve">Au décès d'un associé, la société continue entre les seuls associés survivants. Les ayants droit reçoivent la valeur des parts déterminée au jour du décès selon [Méthode de fixation du prix].</w:t>
      </w:r>
    </w:p>
    <w:p>
      <w:pPr>
        <w:pStyle w:val="Variante"/>
      </w:pPr>
      <w:r>
        <w:t xml:space="preserve">Variante : Continuation avec des bénéficiaires désignés</w:t>
      </w:r>
    </w:p>
    <w:p>
      <w:pPr>
        <w:pStyle w:val="Corps"/>
      </w:pPr>
      <w:r>
        <w:t xml:space="preserve">Au décès d'un associé, la société continue avec [Bénéficiaires désignés] selon [Continuation au décès]. La désignation, l'agrément éventuel et la valeur due aux personnes non admises sont contrôlés au regard de la succession.</w:t>
      </w:r>
    </w:p>
    <w:p>
      <w:pPr>
        <w:pStyle w:val="Intertitre"/>
      </w:pPr>
      <w:r>
        <w:t xml:space="preserve">Clause optionnelle : Agrément des successeurs désignés</w:t>
      </w:r>
    </w:p>
    <w:p>
      <w:pPr>
        <w:pStyle w:val="Corps"/>
      </w:pPr>
      <w:r>
        <w:t xml:space="preserve">Les personnes désignées pour continuer la société sont admises selon [Agrément des successeurs désignés]. À défaut d'agrément, elles reçoivent uniquement les droits patrimoniaux déterminés selon les textes et la méthode de valorisation applicable.</w:t>
      </w:r>
    </w:p>
    <w:p>
      <w:pPr>
        <w:pStyle w:val="Intertitre"/>
      </w:pPr>
      <w:r>
        <w:t xml:space="preserve"> — choisir une seule variante</w:t>
      </w:r>
    </w:p>
    <w:p>
      <w:pPr>
        <w:pStyle w:val="Variante"/>
      </w:pPr>
      <w:r>
        <w:t xml:space="preserve">Variante : Dissolution au décès d'un associé</w:t>
      </w:r>
    </w:p>
    <w:p>
      <w:pPr>
        <w:pStyle w:val="Corps"/>
      </w:pPr>
      <w:r>
        <w:t xml:space="preserve">Le décès d'un associé entraîne la dissolution de la société. La date du décès, les droits des ayants droit, la nomination du liquidateur et les opérations de liquidation sont constatés selon [Conditions de dissolution anticipée].</w:t>
      </w:r>
    </w:p>
    <w:p>
      <w:pPr>
        <w:pStyle w:val="Intertitre"/>
      </w:pPr>
      <w:r>
        <w:t xml:space="preserve">Clause optionnelle : Agrément des héritiers ou légataires</w:t>
      </w:r>
    </w:p>
    <w:p>
      <w:pPr>
        <w:pStyle w:val="Corps"/>
      </w:pPr>
      <w:r>
        <w:t xml:space="preserve">L'acquisition de la qualité d'associé par un héritier ou légataire est soumise à [Conditions d'agrément des héritiers]. Les personnes non agréées n'ont droit qu'à la valeur des parts de leur auteur, déterminée au jour du décès.</w:t>
      </w:r>
    </w:p>
    <w:p>
      <w:pPr>
        <w:pStyle w:val="Intertitre"/>
      </w:pPr>
      <w:r>
        <w:t xml:space="preserve">Établissement des comptes</w:t>
      </w:r>
    </w:p>
    <w:p>
      <w:pPr>
        <w:pStyle w:val="Corps"/>
      </w:pPr>
      <w:r>
        <w:t xml:space="preserve">La Gérance établit les comptes, états et inventaires nécessaires selon [Méthode d'établissement des comptes]. Les méthodes, évaluations et pièces sont conservées afin de rendre compte fidèlement de l'activité et du patrimoine social.</w:t>
      </w:r>
    </w:p>
    <w:p>
      <w:pPr>
        <w:pStyle w:val="Intertitre"/>
      </w:pPr>
      <w:r>
        <w:t xml:space="preserve">Exercice social</w:t>
      </w:r>
    </w:p>
    <w:p>
      <w:pPr>
        <w:pStyle w:val="Corps"/>
      </w:pPr>
      <w:r>
        <w:t xml:space="preserve">Chaque exercice s'ouvre le [Ouverture de l'exercice social] et se clôture le [Clôture de l'exercice social]. Par exception, le premier exercice prendra fin le [Clôture du premier exercice] après l'immatriculation.</w:t>
      </w:r>
    </w:p>
    <w:p>
      <w:pPr>
        <w:pStyle w:val="Intertitre"/>
      </w:pPr>
      <w:r>
        <w:t xml:space="preserve">Approbation des comptes et de la gestion</w:t>
      </w:r>
    </w:p>
    <w:p>
      <w:pPr>
        <w:pStyle w:val="Corps"/>
      </w:pPr>
      <w:r>
        <w:t xml:space="preserve">Les associés statuent sur les comptes, le rapport de Gérance et l'affectation du résultat selon [Accounts approval process]. La décision traite séparément les conventions, dépenses et opérations nécessitant une approbation.</w:t>
      </w:r>
    </w:p>
    <w:p>
      <w:pPr>
        <w:pStyle w:val="Intertitre"/>
      </w:pPr>
      <w:r>
        <w:t xml:space="preserve">Affectation du bénéfice</w:t>
      </w:r>
    </w:p>
    <w:p>
      <w:pPr>
        <w:pStyle w:val="Corps"/>
      </w:pPr>
      <w:r>
        <w:t xml:space="preserve">Le bénéfice distribuable est affecté selon [Profit allocation terms]. La décision respecte les droits attachés aux parts, les réserves et l'interdiction des clauses attribuant tout le profit à un associé.</w:t>
      </w:r>
    </w:p>
    <w:p>
      <w:pPr>
        <w:pStyle w:val="Intertitre"/>
      </w:pPr>
      <w:r>
        <w:t xml:space="preserve">Affectation des pertes</w:t>
      </w:r>
    </w:p>
    <w:p>
      <w:pPr>
        <w:pStyle w:val="Corps"/>
      </w:pPr>
      <w:r>
        <w:t xml:space="preserve">Les pertes sont affectées selon [Traitement des pertes]. Leur traitement comptable ne modifie pas la responsabilité des associés envers les tiers ni leur contribution interne régulièrement déterminée.</w:t>
      </w:r>
    </w:p>
    <w:p>
      <w:pPr>
        <w:pStyle w:val="Intertitre"/>
      </w:pPr>
      <w:r>
        <w:t xml:space="preserve">Coordination des obligations déclaratives</w:t>
      </w:r>
    </w:p>
    <w:p>
      <w:pPr>
        <w:pStyle w:val="Corps"/>
      </w:pPr>
      <w:r>
        <w:t xml:space="preserve">La Gérance rassemble les données nécessaires aux déclarations selon [Tax reporting terms]. Les statuts ne présument ni le régime fiscal effectivement applicable ni une option non documentée.</w:t>
      </w:r>
    </w:p>
    <w:p>
      <w:pPr>
        <w:pStyle w:val="Intertitre"/>
      </w:pPr>
      <w:r>
        <w:t xml:space="preserve">Suivi des actifs sociaux</w:t>
      </w:r>
    </w:p>
    <w:p>
      <w:pPr>
        <w:pStyle w:val="Corps"/>
      </w:pPr>
      <w:r>
        <w:t xml:space="preserve">Les acquisitions, travaux, emprunts, sûretés, locations, mises à disposition et cessions d'actifs sont rapprochés de [Asset register] afin de conserver la preuve de propriété et la cohérence des comptes.</w:t>
      </w:r>
    </w:p>
    <w:p>
      <w:pPr>
        <w:pStyle w:val="Intertitre"/>
      </w:pPr>
      <w:r>
        <w:t xml:space="preserve">Clause optionnelle : Médiation des différends familiaux</w:t>
      </w:r>
    </w:p>
    <w:p>
      <w:pPr>
        <w:pStyle w:val="Corps"/>
      </w:pPr>
      <w:r>
        <w:t xml:space="preserve">Avant une action au fond entre associés relative aux présents statuts, les parties mettent en œuvre [Processus de médiation familiale], sauf urgence, mesure conservatoire, délai impératif ou droit auquel il ne peut être renoncé.</w:t>
      </w:r>
    </w:p>
    <w:p>
      <w:pPr>
        <w:pStyle w:val="Intertitre"/>
      </w:pPr>
      <w:r>
        <w:t xml:space="preserve">Dissolution anticipée</w:t>
      </w:r>
    </w:p>
    <w:p>
      <w:pPr>
        <w:pStyle w:val="Corps"/>
      </w:pPr>
      <w:r>
        <w:t xml:space="preserve">La dissolution anticipée est décidée selon [Conditions de dissolution anticipée] et les majorités applicables. La décision nomme le liquidateur, fixe ses pouvoirs, le siège de liquidation et les modalités de reddition des comptes.</w:t>
      </w:r>
    </w:p>
    <w:p>
      <w:pPr>
        <w:pStyle w:val="Intertitre"/>
      </w:pPr>
      <w:r>
        <w:t xml:space="preserve">Réunion des parts en une seule main</w:t>
      </w:r>
    </w:p>
    <w:p>
      <w:pPr>
        <w:pStyle w:val="Corps"/>
      </w:pPr>
      <w:r>
        <w:t xml:space="preserve">La réunion de toutes les parts en une seule main n'entraîne pas automatiquement la dissolution. La situation est régularisée dans le délai applicable ou fait l'objet de la décision ou demande prévue par la loi.</w:t>
      </w:r>
    </w:p>
    <w:p>
      <w:pPr>
        <w:pStyle w:val="Intertitre"/>
      </w:pPr>
      <w:r>
        <w:t xml:space="preserve">Liquidation</w:t>
      </w:r>
    </w:p>
    <w:p>
      <w:pPr>
        <w:pStyle w:val="Corps"/>
      </w:pPr>
      <w:r>
        <w:t xml:space="preserve">Après dissolution, la société subsiste pour les besoins de sa liquidation. [Identité du liquidateur] réalise l'actif, règle le passif et rend compte selon [Pouvoirs et modalités de liquidation] avant le partage et la radiation.</w:t>
      </w:r>
    </w:p>
    <w:p>
      <w:pPr>
        <w:pStyle w:val="Intertitre"/>
      </w:pPr>
      <w:r>
        <w:t xml:space="preserve">Clause optionnelle : Actes accomplis pour la société en formation</w:t>
      </w:r>
    </w:p>
    <w:p>
      <w:pPr>
        <w:pStyle w:val="Corps"/>
      </w:pPr>
      <w:r>
        <w:t xml:space="preserve">Les engagements conclus avant immatriculation et destinés à être repris figurent dans [État des actes accomplis pour la société en formation]. Chaque acte indique son auteur, sa date, son objet, son montant et son mécanisme de reprise.</w:t>
      </w:r>
    </w:p>
    <w:p>
      <w:pPr>
        <w:pStyle w:val="Intertitre"/>
      </w:pPr>
      <w:r>
        <w:t xml:space="preserve">Clause optionnelle : Mandat d'agir avant immatriculation</w:t>
      </w:r>
    </w:p>
    <w:p>
      <w:pPr>
        <w:pStyle w:val="Corps"/>
      </w:pPr>
      <w:r>
        <w:t xml:space="preserve">Les fondateurs donnent le mandat suivant : [Mandat avant immatriculation]. Les actes autorisés sont déterminés par leur objet et leurs conditions ; leur reprise après immatriculation est vérifiée selon le mécanisme applicable.</w:t>
      </w:r>
    </w:p>
    <w:p>
      <w:pPr>
        <w:pStyle w:val="Intertitre"/>
      </w:pPr>
      <w:r>
        <w:t xml:space="preserve">Acquisition de la personnalité morale</w:t>
      </w:r>
    </w:p>
    <w:p>
      <w:pPr>
        <w:pStyle w:val="Corps"/>
      </w:pPr>
      <w:r>
        <w:t xml:space="preserve">La société jouit de la personnalité morale à compter de son immatriculation. Avant cette date, les personnes ayant agi répondent des engagements tant qu'ils n'ont pas été régulièrement repris.</w:t>
      </w:r>
    </w:p>
    <w:p>
      <w:pPr>
        <w:pStyle w:val="Intertitre"/>
      </w:pPr>
      <w:r>
        <w:t xml:space="preserve">Avis de constitution</w:t>
      </w:r>
    </w:p>
    <w:p>
      <w:pPr>
        <w:pStyle w:val="Corps"/>
      </w:pPr>
      <w:r>
        <w:t xml:space="preserve">L'avis de constitution reprend fidèlement les statuts signés et est identifié par [Référence de l'annonce légale]. Toute divergence sur la dénomination, le capital, le siège, l'objet, la durée ou la Gérance est corrigée avant la formalité suivante.</w:t>
      </w:r>
    </w:p>
    <w:p>
      <w:pPr>
        <w:pStyle w:val="Intertitre"/>
      </w:pPr>
      <w:r>
        <w:t xml:space="preserve">Immatriculation au Guichet unique</w:t>
      </w:r>
    </w:p>
    <w:p>
      <w:pPr>
        <w:pStyle w:val="Corps"/>
      </w:pPr>
      <w:r>
        <w:t xml:space="preserve">[Mandataire des formalités] dépose [Pièces d'immatriculation] au Guichet unique et suit les demandes de régularisation. Le dossier correspond à la version signée et aux pièces relatives au siège, aux apports, à la Gérance, aux bénéficiaires effectifs et à l'activité.</w:t>
      </w:r>
    </w:p>
    <w:p>
      <w:pPr>
        <w:pStyle w:val="Intertitre"/>
      </w:pPr>
      <w:r>
        <w:t xml:space="preserve">Annexes constitutives</w:t>
      </w:r>
    </w:p>
    <w:p>
      <w:pPr>
        <w:pStyle w:val="Corps"/>
      </w:pPr>
      <w:r>
        <w:t xml:space="preserve">Sont annexés ou conservés avec les présents statuts les documents recensés dans [Annexes aux statuts], notamment les actes d'apport, évaluations, titres de propriété, pouvoirs, état des actes, justificatifs du siège et pièces de Gérance.</w:t>
      </w:r>
    </w:p>
    <w:p>
      <w:pPr>
        <w:pStyle w:val="Intertitre"/>
      </w:pPr>
      <w:r>
        <w:t xml:space="preserve">Clause optionnelle : Signature des statuts</w:t>
      </w:r>
    </w:p>
    <w:p>
      <w:pPr>
        <w:pStyle w:val="Corps"/>
      </w:pPr>
      <w:r>
        <w:t xml:space="preserve">La version [Référence de la version des statuts] est faite à [Lieu de signature], le [Date de signature], selon [Mode de signature]. Signent les fondateurs ou représentants suivants : [Signataires fondateurs].</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