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GARANTIE DÉCENNALE</w:t>
      </w:r>
    </w:p>
    <w:p>
      <w:pPr>
        <w:pStyle w:val="Intertitre"/>
      </w:pPr>
      <w:r>
        <w:t xml:space="preserve">À quel stade matériel se trouve l'acte ? — choisir une seule variante</w:t>
      </w:r>
    </w:p>
    <w:p>
      <w:pPr>
        <w:pStyle w:val="Variante"/>
      </w:pPr>
      <w:r>
        <w:t xml:space="preserve">Variante : PROJET D'ASSIGNATION EN GARANTIE DÉCENNALE</w:t>
      </w:r>
    </w:p>
    <w:p>
      <w:pPr>
        <w:pStyle w:val="Corps"/>
      </w:pPr>
      <w:r>
        <w:t xml:space="preserve">Projet d'assignation référencé [Référence du dossier]. Ce stade n'atteste ni date d'audience, ni signification, ni saisine de la juridiction.</w:t>
      </w:r>
    </w:p>
    <w:p>
      <w:pPr>
        <w:pStyle w:val="Variante"/>
      </w:pPr>
      <w:r>
        <w:t xml:space="preserve">Variante : ASSIGNATION EN GARANTIE DÉCENNALE</w:t>
      </w:r>
    </w:p>
    <w:p>
      <w:pPr>
        <w:pStyle w:val="Corps"/>
      </w:pPr>
      <w:r>
        <w:t xml:space="preserve">Assignation arrêtée pour signification après confirmation de la juridiction, de l'audience, des parties, de la représentation, des prétentions et des pièces.</w:t>
      </w:r>
    </w:p>
    <w:p>
      <w:pPr>
        <w:pStyle w:val="Variante"/>
      </w:pPr>
      <w:r>
        <w:t xml:space="preserve">Variante : ASSIGNATION EN GARANTIE DÉCENNALE — COPIE SIGNIFIÉE</w:t>
      </w:r>
    </w:p>
    <w:p>
      <w:pPr>
        <w:pStyle w:val="Corps"/>
      </w:pPr>
      <w:r>
        <w:t xml:space="preserve">Copie de l'assignation signifiée selon l'acte [Référence de l'acte de signification]. La signification ne vaut saisine qu'après remise régulière de la copie au greffe.</w:t>
      </w:r>
    </w:p>
    <w:p>
      <w:pPr>
        <w:pStyle w:val="Intertitre"/>
      </w:pPr>
      <w:r>
        <w:t xml:space="preserve">JURIDICTION SAISIE</w:t>
      </w:r>
    </w:p>
    <w:p>
      <w:pPr>
        <w:pStyle w:val="Corps"/>
      </w:pPr>
      <w:r>
        <w:t xml:space="preserve">La demande est portée devant [Tribunal saisi], formation [Chambre ou formation], selon le fondement de compétence vérifié suivant : [Fondement de compétence d'attribution]. La désignation de la juridiction, son siège et la formation appelée à connaître du litige correspondent aux indications communiquées pour l'audience. La présente assignation est limitée au tribunal judiciaire et ne vaut pas saisine d'une autre juridiction.</w:t>
      </w:r>
    </w:p>
    <w:p>
      <w:pPr>
        <w:pStyle w:val="Intertitre"/>
      </w:pPr>
      <w:r>
        <w:t xml:space="preserve">Quelle compétence matérielle du tribunal judiciaire est établie ? — choisir une seule variante</w:t>
      </w:r>
    </w:p>
    <w:p>
      <w:pPr>
        <w:pStyle w:val="Variante"/>
      </w:pPr>
      <w:r>
        <w:t xml:space="preserve">Variante : COMPÉTENCE — MATIÈRE CIVILE DE DROIT COMMUN</w:t>
      </w:r>
    </w:p>
    <w:p>
      <w:pPr>
        <w:pStyle w:val="Corps"/>
      </w:pPr>
      <w:r>
        <w:t xml:space="preserve">Le tribunal judiciaire est compétent pour la prétention civile décrite dans [Fondement de compétence matérielle], sous réserve des compétences spéciales et exclusives vérifiées.</w:t>
      </w:r>
    </w:p>
    <w:p>
      <w:pPr>
        <w:pStyle w:val="Variante"/>
      </w:pPr>
      <w:r>
        <w:t xml:space="preserve">Variante : COMPÉTENCE — MATIÈRE EXCLUSIVE DU TRIBUNAL JUDICIAIRE</w:t>
      </w:r>
    </w:p>
    <w:p>
      <w:pPr>
        <w:pStyle w:val="Corps"/>
      </w:pPr>
      <w:r>
        <w:t xml:space="preserve">La compétence exclusive résulte de [Fondement de compétence exclusive]. La représentation et la procédure sont déterminées sans appliquer mécaniquement une dispense fondée sur le montant.</w:t>
      </w:r>
    </w:p>
    <w:p>
      <w:pPr>
        <w:pStyle w:val="Variante"/>
      </w:pPr>
      <w:r>
        <w:t xml:space="preserve">Variante : COMPÉTENCE — AUTRE MATIÈRE VÉRIFIÉE</w:t>
      </w:r>
    </w:p>
    <w:p>
      <w:pPr>
        <w:pStyle w:val="Corps"/>
      </w:pPr>
      <w:r>
        <w:t xml:space="preserve">La compétence d'attribution est établie par [Fondement de compétence matérielle] et [Fondement de compétence exclusive]. Aucune qualification n'est déduite du seul intitulé de la demande.</w:t>
      </w:r>
    </w:p>
    <w:p>
      <w:pPr>
        <w:pStyle w:val="Intertitre"/>
      </w:pPr>
      <w:r>
        <w:t xml:space="preserve">Quel rattachement territorial est établi ? — choisir une seule variante</w:t>
      </w:r>
    </w:p>
    <w:p>
      <w:pPr>
        <w:pStyle w:val="Variante"/>
      </w:pPr>
      <w:r>
        <w:t xml:space="preserve">Variante : COMPÉTENCE TERRITORIALE — LIEU DU DÉFENDEUR</w:t>
      </w:r>
    </w:p>
    <w:p>
      <w:pPr>
        <w:pStyle w:val="Corps"/>
      </w:pPr>
      <w:r>
        <w:t xml:space="preserve">Le ressort est celui où demeure le défendeur, établi par [Preuve du domicile du défendeur] et expliqué dans [Fondement de compétence territoriale].</w:t>
      </w:r>
    </w:p>
    <w:p>
      <w:pPr>
        <w:pStyle w:val="Variante"/>
      </w:pPr>
      <w:r>
        <w:t xml:space="preserve">Variante : COMPÉTENCE TERRITORIALE — OPTION CONTRACTUELLE</w:t>
      </w:r>
    </w:p>
    <w:p>
      <w:pPr>
        <w:pStyle w:val="Corps"/>
      </w:pPr>
      <w:r>
        <w:t xml:space="preserve">Le demandeur retient le lieu [Lieu d'exécution contractuelle] selon [Preuve du lieu d'exécution] et [Fondement de compétence territoriale].</w:t>
      </w:r>
    </w:p>
    <w:p>
      <w:pPr>
        <w:pStyle w:val="Variante"/>
      </w:pPr>
      <w:r>
        <w:t xml:space="preserve">Variante : COMPÉTENCE TERRITORIALE — OPTION DÉLICTUELLE</w:t>
      </w:r>
    </w:p>
    <w:p>
      <w:pPr>
        <w:pStyle w:val="Corps"/>
      </w:pPr>
      <w:r>
        <w:t xml:space="preserve">Le fait dommageable ou le dommage est localisé par [Lieu du fait ou du dommage] et [Preuve du rattachement délictuel].</w:t>
      </w:r>
    </w:p>
    <w:p>
      <w:pPr>
        <w:pStyle w:val="Variante"/>
      </w:pPr>
      <w:r>
        <w:t xml:space="preserve">Variante : COMPÉTENCE TERRITORIALE — CLAUSE ATTRIBUTIVE VÉRIFIÉE</w:t>
      </w:r>
    </w:p>
    <w:p>
      <w:pPr>
        <w:pStyle w:val="Corps"/>
      </w:pPr>
      <w:r>
        <w:t xml:space="preserve">La clause [Clause attributive] est invoquée après contrôle de son champ, des qualités des parties et de son caractère très apparent par [Caractère très apparent].</w:t>
      </w:r>
    </w:p>
    <w:p>
      <w:pPr>
        <w:pStyle w:val="Intertitre"/>
      </w:pPr>
      <w:r>
        <w:t xml:space="preserve">Le demandeur est-il une personne physique ou morale ?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 Sa qualité et son intérêt à agir résultent de [Analyse de la qualité et de l'intérêt à agir].</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 Sa qualité et son intérêt à agir résultent de [Analyse de la qualité et de l'intérêt à agir].</w:t>
      </w:r>
    </w:p>
    <w:p>
      <w:pPr>
        <w:pStyle w:val="Intertitre"/>
      </w:pPr>
      <w:r>
        <w:t xml:space="preserve">Clause optionnelle : PLURALITÉ DE DEMANDEURS</w:t>
      </w:r>
    </w:p>
    <w:p>
      <w:pPr>
        <w:pStyle w:val="Corps"/>
      </w:pPr>
      <w:r>
        <w:t xml:space="preserve">Les demandeurs, leurs qualités, intérêts, prétentions et représentations respectives figurent dans [Tableau des demandeurs]. Chaque prétention est rattachée à son titulaire.</w:t>
      </w:r>
    </w:p>
    <w:p>
      <w:pPr>
        <w:pStyle w:val="Intertitre"/>
      </w:pPr>
      <w:r>
        <w:t xml:space="preserve">CAPACITÉ, POUVOIRS ET DROIT D'AGIR</w:t>
      </w:r>
    </w:p>
    <w:p>
      <w:pPr>
        <w:pStyle w:val="Corps"/>
      </w:pPr>
      <w:r>
        <w:t xml:space="preserve">La capacité, le pouvoir et le droit d'agir du demandeur résultent de [Justificatifs de capacité et de pouvoir] et de [Analyse de la qualité et de l'intérêt à agir]. Ces éléments établissent sa qualité à exercer les droits attachés à l'ouvrage ou transmis avec celui-ci, ainsi que, le cas échéant, le pouvoir de la personne qui le représente dans la présente instance.</w:t>
      </w:r>
    </w:p>
    <w:p>
      <w:pPr>
        <w:pStyle w:val="Intertitre"/>
      </w:pPr>
      <w:r>
        <w:t xml:space="preserve">Le défendeur est-il une personne physique ou morale ?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destinataire de l'acte en qualité de défendeur.</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destinataire de l'acte en qualité de défendeur.</w:t>
      </w:r>
    </w:p>
    <w:p>
      <w:pPr>
        <w:pStyle w:val="Intertitre"/>
      </w:pPr>
      <w:r>
        <w:t xml:space="preserve">Clause optionnelle : PLURALITÉ DE DÉFENDEURS</w:t>
      </w:r>
    </w:p>
    <w:p>
      <w:pPr>
        <w:pStyle w:val="Corps"/>
      </w:pPr>
      <w:r>
        <w:t xml:space="preserve">Les défendeurs, adresses de signification, qualités et prétentions dirigées contre chacun sont distingués dans [Tableau des défendeurs].</w:t>
      </w:r>
    </w:p>
    <w:p>
      <w:pPr>
        <w:pStyle w:val="Intertitre"/>
      </w:pPr>
      <w:r>
        <w:t xml:space="preserve">Quel régime de représentation est vérifié ?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professionnellement [Adresse professionnelle de l'avocat]. Le défendeur doit constituer avocat dans le délai de [Délai de constitution d'avocat du défendeur] jours à compter de l'assignation, sous réserve de la proximité de l'audience.</w:t>
      </w:r>
    </w:p>
    <w:p>
      <w:pPr>
        <w:pStyle w:val="Variante"/>
      </w:pPr>
      <w:r>
        <w:t xml:space="preserve">Variante : DISPENSE DE CONSTITUTION D'AVOCAT — MONTANT</w:t>
      </w:r>
    </w:p>
    <w:p>
      <w:pPr>
        <w:pStyle w:val="Corps"/>
      </w:pPr>
      <w:r>
        <w:t xml:space="preserve">Hors matière exclusive, la demande appréciée à [Montant retenu pour la représentation] est comparée au seuil officiel [Seuil de dispense lié au montant]. La dispense et le mode de comparution résultent de [Fondement de la dispense de constitution].</w:t>
      </w:r>
    </w:p>
    <w:p>
      <w:pPr>
        <w:pStyle w:val="Variante"/>
      </w:pPr>
      <w:r>
        <w:t xml:space="preserve">Variante : DISPENSE DE CONSTITUTION D'AVOCAT — MATIÈRE</w:t>
      </w:r>
    </w:p>
    <w:p>
      <w:pPr>
        <w:pStyle w:val="Corps"/>
      </w:pPr>
      <w:r>
        <w:t xml:space="preserve">La dispense résulte de [Fondement de la dispense matérielle]. Le demandeur comparaît ou se fait représenter selon [Qualité du représentant choisi], [Représentant choisi] et [Pouvoir spécial].</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 après vérification de la dispense et des pouvoirs applicables.</w:t>
      </w:r>
    </w:p>
    <w:p>
      <w:pPr>
        <w:pStyle w:val="Intertitre"/>
      </w:pPr>
      <w:r>
        <w:t xml:space="preserve">COMMISSAIRE DE JUSTICE</w:t>
      </w:r>
    </w:p>
    <w:p>
      <w:pPr>
        <w:pStyle w:val="Corps"/>
      </w:pPr>
      <w:r>
        <w:t xml:space="preserve">La signification est confiée à [Nom du commissaire de justice], au sein de [Office du commissaire de justice]. Le commissaire de justice établit l'acte de signification avec sa date, ses modalités, ses diligences, son destinataire et sa signature. Ces mentions sont distinguées du projet préparé par le demandeur et ne sont réputées acquises que dans la copie effectivement signifiée.</w:t>
      </w:r>
    </w:p>
    <w:p>
      <w:pPr>
        <w:pStyle w:val="Intertitre"/>
      </w:pPr>
      <w:r>
        <w:t xml:space="preserve">DESTINATAIRE ET ADRESSE DE SIGNIFICATION</w:t>
      </w:r>
    </w:p>
    <w:p>
      <w:pPr>
        <w:pStyle w:val="Corps"/>
      </w:pPr>
      <w:r>
        <w:t xml:space="preserve">L'acte est destiné à [Destinataire de la signification], en qualité de [Qualité de la personne rencontrée], à [Adresse de signification]. Cette adresse correspond au domicile, au siège, à l'établissement ou à la personne habilitée retenue pour la signification. L'identité et la qualité du destinataire sont rapprochées des pièces et registres utiles avant toute diligence.</w:t>
      </w:r>
    </w:p>
    <w:p>
      <w:pPr>
        <w:pStyle w:val="Intertitre"/>
      </w:pPr>
      <w:r>
        <w:t xml:space="preserve">Clause optionnelle : MODALITÉS DE SIGNIFICATION</w:t>
      </w:r>
    </w:p>
    <w:p>
      <w:pPr>
        <w:pStyle w:val="Corps"/>
      </w:pPr>
      <w:r>
        <w:t xml:space="preserve">La signification intervenue le [Date de signification] selon [Modalités de signification] et les diligences [Diligences et constatations de signification] est constatée uniquement dans la copie effectivement signifiée.</w:t>
      </w:r>
    </w:p>
    <w:p>
      <w:pPr>
        <w:pStyle w:val="Intertitre"/>
      </w:pPr>
      <w:r>
        <w:t xml:space="preserve">La date d'audience est-elle confirmée par le greffe ? — choisir une seule variante</w:t>
      </w:r>
    </w:p>
    <w:p>
      <w:pPr>
        <w:pStyle w:val="Variante"/>
      </w:pPr>
      <w:r>
        <w:t xml:space="preserve">Variante : DATE D'AUDIENCE NON ENCORE CONFIRMÉE</w:t>
      </w:r>
    </w:p>
    <w:p>
      <w:pPr>
        <w:pStyle w:val="Corps"/>
      </w:pPr>
      <w:r>
        <w:t xml:space="preserve">Le projet a été présenté au greffe sous [Référence de demande de date]. Il ne peut être signifié tant que la date, l'heure et le lieu de l'audience ne sont pas confirmés.</w:t>
      </w:r>
    </w:p>
    <w:p>
      <w:pPr>
        <w:pStyle w:val="Variante"/>
      </w:pPr>
      <w:r>
        <w:t xml:space="preserve">Variante : DATE ET MODALITÉS DE COMPARUTION</w:t>
      </w:r>
    </w:p>
    <w:p>
      <w:pPr>
        <w:pStyle w:val="Corps"/>
      </w:pPr>
      <w:r>
        <w:t xml:space="preserve">L'audience confirmée par [Justificatif de la date d'audience] se tiendra le [Date d'audience] à [Heure d'audience], [Lieu de l'audience]. Ces indications sont rapprochées de la version signifiée.</w:t>
      </w:r>
    </w:p>
    <w:p>
      <w:pPr>
        <w:pStyle w:val="Intertitre"/>
      </w:pPr>
      <w:r>
        <w:t xml:space="preserve">Clause optionnelle : AVERTISSEMENT — CONSTITUTION D'AVOCAT</w:t>
      </w:r>
    </w:p>
    <w:p>
      <w:pPr>
        <w:pStyle w:val="Corps"/>
      </w:pPr>
      <w:r>
        <w:t xml:space="preserve">Le défendeur est averti selon [Avertissement de comparution] de l'obligation de constituer avocat, du délai de [Délai de constitution d'avocat du défendeur] jours et des conséquences d'une absence de comparution.</w:t>
      </w:r>
    </w:p>
    <w:p>
      <w:pPr>
        <w:pStyle w:val="Intertitre"/>
      </w:pPr>
      <w:r>
        <w:t xml:space="preserve">Clause optionnelle : AVERTISSEMENT — COMPARUTION SANS CONSTITUTION OBLIGATOIRE</w:t>
      </w:r>
    </w:p>
    <w:p>
      <w:pPr>
        <w:pStyle w:val="Corps"/>
      </w:pPr>
      <w:r>
        <w:t xml:space="preserve">Le défendeur est informé selon [Avertissement de comparution] des modalités admises pour comparaître, se faire assister ou représenter et des conséquences de son absence.</w:t>
      </w:r>
    </w:p>
    <w:p>
      <w:pPr>
        <w:pStyle w:val="Intertitre"/>
      </w:pPr>
      <w:r>
        <w:t xml:space="preserve">Clause optionnelle : ACCORD DU DEMANDEUR POUR UNE PROCÉDURE SANS AUDIENCE</w:t>
      </w:r>
    </w:p>
    <w:p>
      <w:pPr>
        <w:pStyle w:val="Corps"/>
      </w:pPr>
      <w:r>
        <w:t xml:space="preserve">Le demandeur exprime son accord selon [Accord pour une procédure sans audience] pour que la procédure se déroule sans audience. Cet accord ne préjuge ni celui des autres parties lorsqu'il est requis, ni la décision du juge de tenir une audience.</w:t>
      </w:r>
    </w:p>
    <w:p>
      <w:pPr>
        <w:pStyle w:val="Intertitre"/>
      </w:pPr>
      <w:r>
        <w:t xml:space="preserve">OBJET DE L'ASSIGNATION</w:t>
      </w:r>
    </w:p>
    <w:p>
      <w:pPr>
        <w:pStyle w:val="Corps"/>
      </w:pPr>
      <w:r>
        <w:t xml:space="preserve">La présente assignation tend à voir statuer sur les désordres affectant [Désignation de l'ouvrage], sur leur caractère décennal, sur leur imputabilité aux intervenants concernés et, selon les branches retenues, sur la mobilisation des garanties d'assurance. Elle sollicite la réparation intégrale des conséquences dommageables établies, sans confondre les travaux réparatoires, les préjudices consécutifs et les demandes accessoires.</w:t>
      </w:r>
    </w:p>
    <w:p>
      <w:pPr>
        <w:pStyle w:val="Intertitre"/>
      </w:pPr>
      <w:r>
        <w:t xml:space="preserve">Quelle est la qualité du demandeur ? — choisir une seule variante</w:t>
      </w:r>
    </w:p>
    <w:p>
      <w:pPr>
        <w:pStyle w:val="Variante"/>
      </w:pPr>
      <w:r>
        <w:t xml:space="preserve">Variante : QUALITÉ — MAÎTRE DE L'OUVRAGE</w:t>
      </w:r>
    </w:p>
    <w:p>
      <w:pPr>
        <w:pStyle w:val="Corps"/>
      </w:pPr>
      <w:r>
        <w:t xml:space="preserve">Le demandeur agit en qualité de maître de l'ouvrage selon [Titre du demandeur]. Son lien juridique et matériel avec [Lien du demandeur avec l'ouvrage] lui confère intérêt et qualité pour demander la réparation des désordres affectant l'ouvrage, dans les limites des droits dont il justifie au jour de l'introduction de l'instance.</w:t>
      </w:r>
    </w:p>
    <w:p>
      <w:pPr>
        <w:pStyle w:val="Variante"/>
      </w:pPr>
      <w:r>
        <w:t xml:space="preserve">Variante : QUALITÉ — ACQUÉREUR DE L'OUVRAGE</w:t>
      </w:r>
    </w:p>
    <w:p>
      <w:pPr>
        <w:pStyle w:val="Corps"/>
      </w:pPr>
      <w:r>
        <w:t xml:space="preserve">Le demandeur agit en qualité d'acquéreur selon [Titre du demandeur]. Le transfert des droits attachés à l'ouvrage, la date de l'acquisition et son lien avec [Lien du demandeur avec l'ouvrage] sont établis par les pièces citées. Sa demande reste limitée aux droits et préjudices dont il est effectivement titulaire.</w:t>
      </w:r>
    </w:p>
    <w:p>
      <w:pPr>
        <w:pStyle w:val="Variante"/>
      </w:pPr>
      <w:r>
        <w:t xml:space="preserve">Variante : QUALITÉ — SYNDICAT DES COPROPRIÉTAIRES</w:t>
      </w:r>
    </w:p>
    <w:p>
      <w:pPr>
        <w:pStyle w:val="Corps"/>
      </w:pPr>
      <w:r>
        <w:t xml:space="preserve">Le syndicat demandeur justifie son existence, son habilitation et le périmètre des parties communes par [Titre du demandeur]. Son lien avec [Lien du demandeur avec l'ouvrage] détermine les désordres et préjudices collectifs pour lesquels il agit, sans empiéter sur les demandes strictement personnelles des copropriétaires.</w:t>
      </w:r>
    </w:p>
    <w:p>
      <w:pPr>
        <w:pStyle w:val="Variante"/>
      </w:pPr>
      <w:r>
        <w:t xml:space="preserve">Variante : QUALITÉ — ASSUREUR SUBROGÉ</w:t>
      </w:r>
    </w:p>
    <w:p>
      <w:pPr>
        <w:pStyle w:val="Corps"/>
      </w:pPr>
      <w:r>
        <w:t xml:space="preserve">L'assureur demandeur justifie le paiement ouvrant subrogation par [Subrogation de l'assureur]. Le titre transmis, son montant et son lien avec [Titre du demandeur] et [Lien du demandeur avec l'ouvrage] délimitent le recours exercé. Aucune somme excédant l'indemnité versée ou le droit transmis n'est comprise dans la demande subrogatoire.</w:t>
      </w:r>
    </w:p>
    <w:p>
      <w:pPr>
        <w:pStyle w:val="Variante"/>
      </w:pPr>
      <w:r>
        <w:t xml:space="preserve">Variante : QUALITÉ — AUTRE TITULAIRE VÉRIFIÉ</w:t>
      </w:r>
    </w:p>
    <w:p>
      <w:pPr>
        <w:pStyle w:val="Corps"/>
      </w:pPr>
      <w:r>
        <w:t xml:space="preserve">La qualité du demandeur résulte de [Titre du demandeur] et son lien avec l'ouvrage de [Lien du demandeur avec l'ouvrage]. Les droits invoqués, leur origine et leur étendue sont exposés afin de distinguer la qualité à agir de la seule détention matérielle ou de l'intérêt économique au litige.</w:t>
      </w:r>
    </w:p>
    <w:p>
      <w:pPr>
        <w:pStyle w:val="Intertitre"/>
      </w:pPr>
      <w:r>
        <w:t xml:space="preserve">OPÉRATION DE CONSTRUCTION</w:t>
      </w:r>
    </w:p>
    <w:p>
      <w:pPr>
        <w:pStyle w:val="Corps"/>
      </w:pPr>
      <w:r>
        <w:t xml:space="preserve">L'opération de construction porte sur [Désignation de l'ouvrage] et est décrite par [Opération de construction]. Cette présentation précise la nature de l'ouvrage, sa destination, la consistance des travaux, les principales phases du chantier et le périmètre matériel concerné par les désordres allégués. Les travaux étrangers au litige sont exclus de l'analyse.</w:t>
      </w:r>
    </w:p>
    <w:p>
      <w:pPr>
        <w:pStyle w:val="Intertitre"/>
      </w:pPr>
      <w:r>
        <w:t xml:space="preserve">MARCHÉS, MISSIONS ET LOTS</w:t>
      </w:r>
    </w:p>
    <w:p>
      <w:pPr>
        <w:pStyle w:val="Corps"/>
      </w:pPr>
      <w:r>
        <w:t xml:space="preserve">Les marchés, devis, missions et lots utiles ressortent de [Marchés et missions]. Pour chaque intervenant, ce relevé distingue le cocontractant, la mission confiée, le lot exécuté, les dates pertinentes et les éventuelles limites contractuelles invoquées. Il permet de rattacher chaque désordre au périmètre d'intervention effectivement discuté.</w:t>
      </w:r>
    </w:p>
    <w:p>
      <w:pPr>
        <w:pStyle w:val="Intertitre"/>
      </w:pPr>
      <w:r>
        <w:t xml:space="preserve">INTERVENANTS À L'OPÉRATION</w:t>
      </w:r>
    </w:p>
    <w:p>
      <w:pPr>
        <w:pStyle w:val="Corps"/>
      </w:pPr>
      <w:r>
        <w:t xml:space="preserve">Les intervenants à l'opération, leurs qualités, missions, lots et assurances sont recensés dans [Intervenants à l'opération]. Ce relevé distingue notamment les constructeurs au sens du régime décennal, les sous-traitants recherchés sur un fondement distinct, les contrôleurs limités à leur mission et les assureurs appelés en garantie. Chaque demande est individualisée par défendeur.</w:t>
      </w:r>
    </w:p>
    <w:p>
      <w:pPr>
        <w:pStyle w:val="Intertitre"/>
      </w:pPr>
      <w:r>
        <w:t xml:space="preserve">Quel fondement de réception est invoqué ? — choisir une seule variante</w:t>
      </w:r>
    </w:p>
    <w:p>
      <w:pPr>
        <w:pStyle w:val="Variante"/>
      </w:pPr>
      <w:r>
        <w:t xml:space="preserve">Variante : RÉCEPTION EXPRESSE</w:t>
      </w:r>
    </w:p>
    <w:p>
      <w:pPr>
        <w:pStyle w:val="Corps"/>
      </w:pPr>
      <w:r>
        <w:t xml:space="preserve">La réception expresse résulte de [Procès-verbal de réception]. Cet acte en fixe la date, le périmètre et les réserves éventuelles. Il est rapproché de l'ouvrage effectivement livré, des parties qui y ont concouru et des désordres litigieux afin de déterminer le point de départ et le champ du régime décennal invoqué.</w:t>
      </w:r>
    </w:p>
    <w:p>
      <w:pPr>
        <w:pStyle w:val="Variante"/>
      </w:pPr>
      <w:r>
        <w:t xml:space="preserve">Variante : RÉCEPTION TACITE INVOQUÉE</w:t>
      </w:r>
    </w:p>
    <w:p>
      <w:pPr>
        <w:pStyle w:val="Corps"/>
      </w:pPr>
      <w:r>
        <w:t xml:space="preserve">La réception tacite est invoquée au regard de [Éléments de réception tacite]. Les faits allégués, notamment la prise de possession, le paiement et la volonté non équivoque d'accepter l'ouvrage, sont appréciés ensemble. La date et le périmètre de cette réception sont demandés au tribunal au vu des pièces contradictoirement débattues.</w:t>
      </w:r>
    </w:p>
    <w:p>
      <w:pPr>
        <w:pStyle w:val="Variante"/>
      </w:pPr>
      <w:r>
        <w:t xml:space="preserve">Variante : RÉCEPTION JUDICIAIRE SOLLICITÉE</w:t>
      </w:r>
    </w:p>
    <w:p>
      <w:pPr>
        <w:pStyle w:val="Corps"/>
      </w:pPr>
      <w:r>
        <w:t xml:space="preserve">À défaut de réception amiable établie, la réception judiciaire est sollicitée selon [Demande de réception judiciaire]. Le demandeur expose la date à laquelle l'ouvrage était en état d'être reçu, son périmètre et les éléments rendant nécessaire une décision. La demande est formulée contradictoirement et distingue réception judiciaire et garantie de parfait achèvement.</w:t>
      </w:r>
    </w:p>
    <w:p>
      <w:pPr>
        <w:pStyle w:val="Variante"/>
      </w:pPr>
      <w:r>
        <w:t xml:space="preserve">Variante : RÉCEPTION CONTESTÉE</w:t>
      </w:r>
    </w:p>
    <w:p>
      <w:pPr>
        <w:pStyle w:val="Corps"/>
      </w:pPr>
      <w:r>
        <w:t xml:space="preserve">La réception, sa date ou son périmètre sont contestés dans les termes de [Contestation relative à la réception]. Les positions respectives sont rapprochées des procès-verbaux, paiements, prises de possession, réserves et échanges produits. Le tribunal est invité à trancher ce préalable avant d'apprécier le délai et le régime de responsabilité invoqué.</w:t>
      </w:r>
    </w:p>
    <w:p>
      <w:pPr>
        <w:pStyle w:val="Intertitre"/>
      </w:pPr>
      <w:r>
        <w:t xml:space="preserve">Clause optionnelle : RÉSERVES ET LEVÉES</w:t>
      </w:r>
    </w:p>
    <w:p>
      <w:pPr>
        <w:pStyle w:val="Corps"/>
      </w:pPr>
      <w:r>
        <w:t xml:space="preserve">Les réserves, leurs levées et les reprises alléguées sont recensées dans [Réserves à la réception]. Pour chaque désordre, il est précisé s'il était apparent ou réservé lors de la réception, s'il a été réparé et dans quelles conditions il s'est maintenu ou aggravé. Cette analyse délimite les dommages effectivement soumis au régime décennal invoqué.</w:t>
      </w:r>
    </w:p>
    <w:p>
      <w:pPr>
        <w:pStyle w:val="Intertitre"/>
      </w:pPr>
      <w:r>
        <w:t xml:space="preserve">APPARITION ET ÉVOLUTION DES DÉSORDRES</w:t>
      </w:r>
    </w:p>
    <w:p>
      <w:pPr>
        <w:pStyle w:val="Corps"/>
      </w:pPr>
      <w:r>
        <w:t xml:space="preserve">Les désordres, leur date d'apparition, leur évolution et les démarches entreprises sont exposés dans [Chronologie des désordres]. Leur localisation, leur manifestation et leur gravité figurent dans [Tableau des désordres]. La chronologie distingue les réserves de réception, les désordres révélés postérieurement, les aggravations alléguées et les constatations techniques permettant d'en apprécier la portée.</w:t>
      </w:r>
    </w:p>
    <w:p>
      <w:pPr>
        <w:pStyle w:val="Intertitre"/>
      </w:pPr>
      <w:r>
        <w:t xml:space="preserve">Quel critère décennal est invoqué ? — choisir une seule variante</w:t>
      </w:r>
    </w:p>
    <w:p>
      <w:pPr>
        <w:pStyle w:val="Variante"/>
      </w:pPr>
      <w:r>
        <w:t xml:space="preserve">Variante : ATTEINTE À LA SOLIDITÉ</w:t>
      </w:r>
    </w:p>
    <w:p>
      <w:pPr>
        <w:pStyle w:val="Corps"/>
      </w:pPr>
      <w:r>
        <w:t xml:space="preserve">Les désordres compromettent la solidité de l'ouvrage ou de l'un de ses éléments constitutifs dans les conditions exposées par [Atteinte à la solidité]. Leur localisation, leur gravité actuelle, leur évolution et les constatations techniques produites établissent en quoi l'atteinte excède une simple imperfection ou non-conformité sans conséquence structurelle.</w:t>
      </w:r>
    </w:p>
    <w:p>
      <w:pPr>
        <w:pStyle w:val="Variante"/>
      </w:pPr>
      <w:r>
        <w:t xml:space="preserve">Variante : IMPROPRIÉTÉ À DESTINATION</w:t>
      </w:r>
    </w:p>
    <w:p>
      <w:pPr>
        <w:pStyle w:val="Corps"/>
      </w:pPr>
      <w:r>
        <w:t xml:space="preserve">Les désordres rendent l'ouvrage impropre à sa destination dans les conditions décrites par [Impropriété à destination]. L'usage normalement attendu, les restrictions concrètes, leur intensité et leur durée sont précisés afin d'établir une impropriété réelle et suffisamment grave, appréciée au regard de la destination propre de l'ouvrage.</w:t>
      </w:r>
    </w:p>
    <w:p>
      <w:pPr>
        <w:pStyle w:val="Variante"/>
      </w:pPr>
      <w:r>
        <w:t xml:space="preserve">Variante : ÉQUIPEMENT INDISSOCIABLE</w:t>
      </w:r>
    </w:p>
    <w:p>
      <w:pPr>
        <w:pStyle w:val="Corps"/>
      </w:pPr>
      <w:r>
        <w:t xml:space="preserve">Le dommage affecte un élément d'équipement indissociable selon [Équipement indissociable]. La dépose, le démontage ou le remplacement de cet équipement ne peut intervenir sans détérioration ou enlèvement de matière de l'ouvrage support, ce qui justifie l'application du régime invoqué au dommage précisément identifié.</w:t>
      </w:r>
    </w:p>
    <w:p>
      <w:pPr>
        <w:pStyle w:val="Variante"/>
      </w:pPr>
      <w:r>
        <w:t xml:space="preserve">Variante : CUMUL DES CRITÈRES DÉCENNAUX</w:t>
      </w:r>
    </w:p>
    <w:p>
      <w:pPr>
        <w:pStyle w:val="Corps"/>
      </w:pPr>
      <w:r>
        <w:t xml:space="preserve">Les critères décennaux se cumulent ou concernent plusieurs désordres : l'atteinte à la solidité résulte de [Atteinte à la solidité], l'impropriété à destination de [Impropriété à destination] et l'atteinte à un équipement indissociable de [Équipement indissociable]. Chaque critère demeure rattaché au désordre et aux pièces qui lui sont propres.</w:t>
      </w:r>
    </w:p>
    <w:p>
      <w:pPr>
        <w:pStyle w:val="Intertitre"/>
      </w:pPr>
      <w:r>
        <w:t xml:space="preserve">Clause optionnelle : CARACTÈRE APPARENT OU RÉSERVÉ</w:t>
      </w:r>
    </w:p>
    <w:p>
      <w:pPr>
        <w:pStyle w:val="Corps"/>
      </w:pPr>
      <w:r>
        <w:t xml:space="preserve">Le caractère apparent, réservé ou caché du désordre lors de la réception est discuté selon [Caractère apparent à la réception]. Sont distingués la manifestation visible, la connaissance de sa gravité, les réserves formulées et les conséquences ultérieurement révélées. Cette discussion est menée séparément pour chaque désordre concerné.</w:t>
      </w:r>
    </w:p>
    <w:p>
      <w:pPr>
        <w:pStyle w:val="Intertitre"/>
      </w:pPr>
      <w:r>
        <w:t xml:space="preserve">Clause optionnelle : GRAVITÉ DÉCENNALE ÉVOLUTIVE</w:t>
      </w:r>
    </w:p>
    <w:p>
      <w:pPr>
        <w:pStyle w:val="Corps"/>
      </w:pPr>
      <w:r>
        <w:t xml:space="preserve">L'évolution invoquée dans le délai décennal est décrite par [Évolution certaine dans le délai]. Les pièces techniques précisent l'état initial, les signes d'aggravation et la date à laquelle la gravité décennale alléguée s'est manifestée. Une simple éventualité future n'est pas assimilée à un dommage décennal acquis.</w:t>
      </w:r>
    </w:p>
    <w:p>
      <w:pPr>
        <w:pStyle w:val="Intertitre"/>
      </w:pPr>
      <w:r>
        <w:t xml:space="preserve">Quelle preuve technique principale fonde l'action ? — choisir une seule variante</w:t>
      </w:r>
    </w:p>
    <w:p>
      <w:pPr>
        <w:pStyle w:val="Variante"/>
      </w:pPr>
      <w:r>
        <w:t xml:space="preserve">Variante : EXPERTISE JUDICIAIRE</w:t>
      </w:r>
    </w:p>
    <w:p>
      <w:pPr>
        <w:pStyle w:val="Corps"/>
      </w:pPr>
      <w:r>
        <w:t xml:space="preserve">L'expertise judiciaire a été ordonnée par [Ordonnance d'expertise] et a donné lieu à [Rapport d'expertise judiciaire]. Les constatations, analyses causales, imputations et évaluations utiles sont reprises contradictoirement, sans conférer au rapport une portée excédant la mission confiée ni dispenser le demandeur d'établir chaque condition de sa prétention.</w:t>
      </w:r>
    </w:p>
    <w:p>
      <w:pPr>
        <w:pStyle w:val="Variante"/>
      </w:pPr>
      <w:r>
        <w:t xml:space="preserve">Variante : EXPERTISE AMIABLE CONTRADICTOIRE</w:t>
      </w:r>
    </w:p>
    <w:p>
      <w:pPr>
        <w:pStyle w:val="Corps"/>
      </w:pPr>
      <w:r>
        <w:t xml:space="preserve">L'expertise amiable contradictoire invoquée est [Expertise amiable contradictoire]. Les convocations, présences, dires et pièces examinées en précisent le caractère contradictoire. Ses constatations sont articulées avec les autres éléments techniques et soumises à l'appréciation du tribunal, sans être présentées comme une décision juridictionnelle.</w:t>
      </w:r>
    </w:p>
    <w:p>
      <w:pPr>
        <w:pStyle w:val="Variante"/>
      </w:pPr>
      <w:r>
        <w:t xml:space="preserve">Variante : PIÈCES TECHNIQUES SANS RAPPORT</w:t>
      </w:r>
    </w:p>
    <w:p>
      <w:pPr>
        <w:pStyle w:val="Corps"/>
      </w:pPr>
      <w:r>
        <w:t xml:space="preserve">À défaut de rapport d'expertise, les éléments techniques invoqués sont [Pièces techniques sans rapport]. Ils décrivent les désordres, leur localisation, leur gravité, leurs causes possibles et les réparations proposées. Leur auteur, leur date, leur méthodologie et leur caractère contradictoire sont précisés afin que le tribunal puisse en apprécier la force probante.</w:t>
      </w:r>
    </w:p>
    <w:p>
      <w:pPr>
        <w:pStyle w:val="Intertitre"/>
      </w:pPr>
      <w:r>
        <w:t xml:space="preserve">CAUSES, IMPUTABILITÉ ET RÉPARATIONS</w:t>
      </w:r>
    </w:p>
    <w:p>
      <w:pPr>
        <w:pStyle w:val="Corps"/>
      </w:pPr>
      <w:r>
        <w:t xml:space="preserve">Les causes techniques et l'imputabilité alléguées ressortent de [Analyse causale]. Cette analyse relie chaque désordre aux travaux, missions ou produits concernés et distingue les causes concurrentes discutées. Les travaux propres à remédier aux dommages sont décrits dans [Travaux réparatoires] et leur coût dans [Chiffrage des réparations], sans inclure d'amélioration étrangère à la remise en état justifiée.</w:t>
      </w:r>
    </w:p>
    <w:p>
      <w:pPr>
        <w:pStyle w:val="Intertitre"/>
      </w:pPr>
      <w:r>
        <w:t xml:space="preserve">Clause optionnelle : ARCHITECTE</w:t>
      </w:r>
    </w:p>
    <w:p>
      <w:pPr>
        <w:pStyle w:val="Corps"/>
      </w:pPr>
      <w:r>
        <w:t xml:space="preserve">L'architecte est intervenu selon [Mission de l'architecte]. Sa mission de conception, de direction, de visa ou d'assistance à la réception est distinguée, et les désordres qui lui sont imputés sont reliés aux obligations relevant de cette mission. La demande ne lui attribue pas les travaux ou contrôles confiés à d'autres intervenants.</w:t>
      </w:r>
    </w:p>
    <w:p>
      <w:pPr>
        <w:pStyle w:val="Intertitre"/>
      </w:pPr>
      <w:r>
        <w:t xml:space="preserve">Clause optionnelle : ENTREPRENEUR</w:t>
      </w:r>
    </w:p>
    <w:p>
      <w:pPr>
        <w:pStyle w:val="Corps"/>
      </w:pPr>
      <w:r>
        <w:t xml:space="preserve">L'entrepreneur est intervenu dans les conditions décrites par [Lot de l'entrepreneur]. Son marché, son lot, les prestations exécutées et le lien allégué entre celles-ci et les désordres sont individualisés. La demande dirigée contre lui reste circonscrite aux dommages imputés à son propre périmètre d'intervention.</w:t>
      </w:r>
    </w:p>
    <w:p>
      <w:pPr>
        <w:pStyle w:val="Intertitre"/>
      </w:pPr>
      <w:r>
        <w:t xml:space="preserve">Clause optionnelle : SOUS-TRAITANT — FONDEMENT DISTINCT</w:t>
      </w:r>
    </w:p>
    <w:p>
      <w:pPr>
        <w:pStyle w:val="Corps"/>
      </w:pPr>
      <w:r>
        <w:t xml:space="preserve">Le sous-traitant est intervenu selon [Intervention du sous-traitant]. N'étant pas présenté comme lié au maître de l'ouvrage par un contrat de louage d'ouvrage, sa responsabilité est recherchée sur le fondement distinct exposé dans les présentes. La faute, le dommage et le lien causal allégués sont individualisés.</w:t>
      </w:r>
    </w:p>
    <w:p>
      <w:pPr>
        <w:pStyle w:val="Intertitre"/>
      </w:pPr>
      <w:r>
        <w:t xml:space="preserve">Clause optionnelle : TECHNICIEN OU BUREAU D'ÉTUDES</w:t>
      </w:r>
    </w:p>
    <w:p>
      <w:pPr>
        <w:pStyle w:val="Corps"/>
      </w:pPr>
      <w:r>
        <w:t xml:space="preserve">Le technicien ou bureau d'études est intervenu dans le cadre de [Mission du technicien]. Sa mission, les études ou préconisations remises et leur mise en œuvre sont précisées. L'imputabilité alléguée est limitée aux désordres en lien avec le périmètre technique effectivement accepté.</w:t>
      </w:r>
    </w:p>
    <w:p>
      <w:pPr>
        <w:pStyle w:val="Intertitre"/>
      </w:pPr>
      <w:r>
        <w:t xml:space="preserve">Clause optionnelle : CONTRÔLEUR TECHNIQUE</w:t>
      </w:r>
    </w:p>
    <w:p>
      <w:pPr>
        <w:pStyle w:val="Corps"/>
      </w:pPr>
      <w:r>
        <w:t xml:space="preserve">Le contrôleur technique a accepté la mission décrite par [Mission du contrôleur technique]. Les aléas techniques relevant de cette mission, les avis émis et les suites qui leur ont été données sont individualisés. La demande demeure strictement limitée au périmètre du contrôle convenu et au lien causal allégué.</w:t>
      </w:r>
    </w:p>
    <w:p>
      <w:pPr>
        <w:pStyle w:val="Intertitre"/>
      </w:pPr>
      <w:r>
        <w:t xml:space="preserve">Clause optionnelle : VENDEUR APRÈS ACHÈVEMENT</w:t>
      </w:r>
    </w:p>
    <w:p>
      <w:pPr>
        <w:pStyle w:val="Corps"/>
      </w:pPr>
      <w:r>
        <w:t xml:space="preserve">Le vendeur après achèvement est recherché en qualité de constructeur selon [Qualité de vendeur-constructeur]. Les conditions dans lesquelles il a construit ou fait construire l'ouvrage, la vente concernée et les désordres litigieux sont exposés. Sa responsabilité n'est demandée que dans le périmètre ainsi établi.</w:t>
      </w:r>
    </w:p>
    <w:p>
      <w:pPr>
        <w:pStyle w:val="Intertitre"/>
      </w:pPr>
      <w:r>
        <w:t xml:space="preserve">Clause optionnelle : FABRICANT OU IMPORTATEUR D'EPERS</w:t>
      </w:r>
    </w:p>
    <w:p>
      <w:pPr>
        <w:pStyle w:val="Corps"/>
      </w:pPr>
      <w:r>
        <w:t xml:space="preserve">Le fabricant ou importateur est recherché au titre de l'élément décrit par [EPERS et fabricant ou importateur]. La conception, la fabrication, l'identification et la mise en œuvre de cet élément sont précisées afin d'établir les conditions du régime invoqué et son lien avec le désordre allégué.</w:t>
      </w:r>
    </w:p>
    <w:p>
      <w:pPr>
        <w:pStyle w:val="Intertitre"/>
      </w:pPr>
      <w:r>
        <w:t xml:space="preserve">Clause optionnelle : MANDATAIRE ASSIMILÉ À UN CONSTRUCTEUR</w:t>
      </w:r>
    </w:p>
    <w:p>
      <w:pPr>
        <w:pStyle w:val="Corps"/>
      </w:pPr>
      <w:r>
        <w:t xml:space="preserve">Le mandataire est assimilé à un constructeur dans les limites de [Mandataire assimilé]. Les actes accomplis, l'étendue de sa mission et leur similitude avec ceux d'un locateur d'ouvrage sont exposés. La seule qualité de mandataire ne suffit pas à fonder la demande.</w:t>
      </w:r>
    </w:p>
    <w:p>
      <w:pPr>
        <w:pStyle w:val="Intertitre"/>
      </w:pPr>
      <w:r>
        <w:t xml:space="preserve">Clause optionnelle : CAUSE ÉTRANGÈRE DISCUTÉE</w:t>
      </w:r>
    </w:p>
    <w:p>
      <w:pPr>
        <w:pStyle w:val="Corps"/>
      </w:pPr>
      <w:r>
        <w:t xml:space="preserve">La cause étrangère opposée est décrite dans [Cause étrangère invoquée]. Le demandeur répond sur son caractère extérieur, imprévisible ou irrésistible, ainsi que sur son rôle causal effectif. Cette défense est appréciée pour chaque dommage et chaque constructeur, sans exonération globale non justifiée.</w:t>
      </w:r>
    </w:p>
    <w:p>
      <w:pPr>
        <w:pStyle w:val="Intertitre"/>
      </w:pPr>
      <w:r>
        <w:t xml:space="preserve">CONDITIONS DE LA RESPONSABILITÉ DÉCENNALE</w:t>
      </w:r>
    </w:p>
    <w:p>
      <w:pPr>
        <w:pStyle w:val="Corps"/>
      </w:pPr>
      <w:r>
        <w:t xml:space="preserve">La responsabilité décennale est recherchée séparément contre chaque défendeur au regard de sa qualité de constructeur, de la réception applicable, de la nature décennale du dommage et de son imputabilité. Pour chaque désordre, la demande identifie l'ouvrage ou l'équipement atteint, le critère de gravité invoqué, le rôle de l'intervenant et les pièces techniques qui le rattachent au dommage. La cause étrangère éventuellement opposée est traitée distinctement.</w:t>
      </w:r>
    </w:p>
    <w:p>
      <w:pPr>
        <w:pStyle w:val="Intertitre"/>
      </w:pPr>
      <w:r>
        <w:t xml:space="preserve">Comment le délai décennal est-il traité ? — choisir une seule variante</w:t>
      </w:r>
    </w:p>
    <w:p>
      <w:pPr>
        <w:pStyle w:val="Variante"/>
      </w:pPr>
      <w:r>
        <w:t xml:space="preserve">Variante : ACTION INTRODUITE DANS LE DÉLAI</w:t>
      </w:r>
    </w:p>
    <w:p>
      <w:pPr>
        <w:pStyle w:val="Corps"/>
      </w:pPr>
      <w:r>
        <w:t xml:space="preserve">Le délai décennal est calculé dans [Calcul du délai décennal] à partir de la réception retenue et de la date de l'acte introductif. Le calcul distingue chaque défendeur et chaque fondement lorsque cela est nécessaire. Les dates et pièces utilisées sont identifiées sans déduire un délai d'une valeur non vérifiée.</w:t>
      </w:r>
    </w:p>
    <w:p>
      <w:pPr>
        <w:pStyle w:val="Variante"/>
      </w:pPr>
      <w:r>
        <w:t xml:space="preserve">Variante : INTERRUPTION INVOQUÉE</w:t>
      </w:r>
    </w:p>
    <w:p>
      <w:pPr>
        <w:pStyle w:val="Corps"/>
      </w:pPr>
      <w:r>
        <w:t xml:space="preserve">Le calcul initial figure dans [Calcul du délai décennal]. Les actes interruptifs invoqués sont [Actes interruptifs] ; leur date, leurs parties, leur objet et les prétentions qu'ils visent sont précisés. Leur effet n'est revendiqué qu'à l'égard des personnes et désordres effectivement concernés.</w:t>
      </w:r>
    </w:p>
    <w:p>
      <w:pPr>
        <w:pStyle w:val="Variante"/>
      </w:pPr>
      <w:r>
        <w:t xml:space="preserve">Variante : SUSPENSION INVOQUÉE</w:t>
      </w:r>
    </w:p>
    <w:p>
      <w:pPr>
        <w:pStyle w:val="Corps"/>
      </w:pPr>
      <w:r>
        <w:t xml:space="preserve">Le calcul initial figure dans [Calcul du délai décennal] et la mesure d'instruction invoquée dans [Mesure d'instruction et suspension]. La date de la décision, l'exécution de la mesure et la reprise du délai sont exposées. La suspension n'est pas assimilée à une interruption et son effet est délimité par son objet.</w:t>
      </w:r>
    </w:p>
    <w:p>
      <w:pPr>
        <w:pStyle w:val="Variante"/>
      </w:pPr>
      <w:r>
        <w:t xml:space="preserve">Variante : DÉLAI CONTESTÉ</w:t>
      </w:r>
    </w:p>
    <w:p>
      <w:pPr>
        <w:pStyle w:val="Corps"/>
      </w:pPr>
      <w:r>
        <w:t xml:space="preserve">Le calcul du délai et la contestation sont exposés dans [Calcul du délai décennal] et [Contestation du délai]. Les hypothèses concurrentes de réception, d'interruption ou de suspension sont présentées séparément. La demande soumet expressément ce point au tribunal sans présenter la recevabilité comme définitivement acquise.</w:t>
      </w:r>
    </w:p>
    <w:p>
      <w:pPr>
        <w:pStyle w:val="Intertitre"/>
      </w:pPr>
      <w:r>
        <w:t xml:space="preserve">Clause optionnelle : ACTION DIRECTE CONTRE L'ASSUREUR</w:t>
      </w:r>
    </w:p>
    <w:p>
      <w:pPr>
        <w:pStyle w:val="Corps"/>
      </w:pPr>
      <w:r>
        <w:t xml:space="preserve">L'action directe est exercée contre [Assureur de responsabilité] au titre de la police [Police de responsabilité décennale]. Le demandeur expose l'identité de l'assuré, l'activité déclarée, la période de garantie et le sinistre concerné selon [Analyse de garantie]. La condamnation sollicitée reste dans les limites de la dette de responsabilité et de la garantie mobilisable.</w:t>
      </w:r>
    </w:p>
    <w:p>
      <w:pPr>
        <w:pStyle w:val="Intertitre"/>
      </w:pPr>
      <w:r>
        <w:t xml:space="preserve">Clause optionnelle : MOYENS DE L'ASSUREUR</w:t>
      </w:r>
    </w:p>
    <w:p>
      <w:pPr>
        <w:pStyle w:val="Corps"/>
      </w:pPr>
      <w:r>
        <w:t xml:space="preserve">L'assureur oppose [Position de l'assureur]. Le demandeur répond dans [Analyse de garantie] sur l'identité de l'assuré, l'activité garantie, la période, l'exclusion, le plafond et la franchise invoqués. Chaque moyen de garantie est distingué de la responsabilité de l'assuré et de l'évaluation du dommage.</w:t>
      </w:r>
    </w:p>
    <w:p>
      <w:pPr>
        <w:pStyle w:val="Intertitre"/>
      </w:pPr>
      <w:r>
        <w:t xml:space="preserve">Clause optionnelle : ASSURANCE DOMMAGES-OUVRAGE</w:t>
      </w:r>
    </w:p>
    <w:p>
      <w:pPr>
        <w:pStyle w:val="Corps"/>
      </w:pPr>
      <w:r>
        <w:t xml:space="preserve">L'assureur dommages-ouvrage est [Assureur dommages-ouvrage] et la procédure de déclaration, d'instruction et d'indemnisation est décrite dans [Procédure dommages-ouvrage]. Les sommes versées ou refusées, les travaux financés et leur articulation avec les recours contre les responsables sont individualisés.</w:t>
      </w:r>
    </w:p>
    <w:p>
      <w:pPr>
        <w:pStyle w:val="Intertitre"/>
      </w:pPr>
      <w:r>
        <w:t xml:space="preserve">Clause optionnelle : SUBROGATION APRÈS INDEMNISATION</w:t>
      </w:r>
    </w:p>
    <w:p>
      <w:pPr>
        <w:pStyle w:val="Corps"/>
      </w:pPr>
      <w:r>
        <w:t xml:space="preserve">La subrogation résulte de [Subrogation de l'assureur]. Le paiement, son bénéficiaire, sa date, son montant et les droits transmis délimitent le recours exercé. La demande ne cumule pas, pour un même poste, les droits de l'assuré et ceux de l'assureur subrogé.</w:t>
      </w:r>
    </w:p>
    <w:p>
      <w:pPr>
        <w:pStyle w:val="Intertitre"/>
      </w:pPr>
      <w:r>
        <w:t xml:space="preserve">Quelle réparation principale est demandée ? — choisir une seule variante</w:t>
      </w:r>
    </w:p>
    <w:p>
      <w:pPr>
        <w:pStyle w:val="Variante"/>
      </w:pPr>
      <w:r>
        <w:t xml:space="preserve">Variante : RÉPARATION PAR ÉQUIVALENT</w:t>
      </w:r>
    </w:p>
    <w:p>
      <w:pPr>
        <w:pStyle w:val="Corps"/>
      </w:pPr>
      <w:r>
        <w:t xml:space="preserve">La réparation par équivalent porte sur les travaux définis dans [Travaux réparatoires] et chiffrés par [Chiffrage des réparations]. Le montant demandé distingue les travaux nécessaires, les frais directement liés, la TVA applicable et les améliorations éventuelles exclues. Les devis et évaluations sont rattachés aux désordres retenus.</w:t>
      </w:r>
    </w:p>
    <w:p>
      <w:pPr>
        <w:pStyle w:val="Variante"/>
      </w:pPr>
      <w:r>
        <w:t xml:space="preserve">Variante : EXÉCUTION EN NATURE</w:t>
      </w:r>
    </w:p>
    <w:p>
      <w:pPr>
        <w:pStyle w:val="Corps"/>
      </w:pPr>
      <w:r>
        <w:t xml:space="preserve">L'exécution en nature est sollicitée selon [Exécution en nature sollicitée]. La demande précise les travaux à réaliser, les parties tenues, le délai et les modalités de contrôle envisagées. Elle reste compatible avec la nature des désordres et n'est pas cumulée avec le paiement intégral du même coût réparatoire.</w:t>
      </w:r>
    </w:p>
    <w:p>
      <w:pPr>
        <w:pStyle w:val="Variante"/>
      </w:pPr>
      <w:r>
        <w:t xml:space="preserve">Variante : EXÉCUTION ET INDEMNISATION COMBINÉES</w:t>
      </w:r>
    </w:p>
    <w:p>
      <w:pPr>
        <w:pStyle w:val="Corps"/>
      </w:pPr>
      <w:r>
        <w:t xml:space="preserve">Le demandeur sollicite l'exécution définie par [Exécution en nature sollicitée] et le paiement des postes chiffrés dans [Chiffrage des réparations]. Les deux remèdes sont ventilés par travaux et préjudices afin d'éviter toute double indemnisation. Leur articulation et les modalités d'exécution demandées sont précisées dans le dispositif.</w:t>
      </w:r>
    </w:p>
    <w:p>
      <w:pPr>
        <w:pStyle w:val="Intertitre"/>
      </w:pPr>
      <w:r>
        <w:t xml:space="preserve">Clause optionnelle : PRÉJUDICE DE JOUISSANCE</w:t>
      </w:r>
    </w:p>
    <w:p>
      <w:pPr>
        <w:pStyle w:val="Corps"/>
      </w:pPr>
      <w:r>
        <w:t xml:space="preserve">Le préjudice de jouissance est décrit et chiffré dans [Préjudice de jouissance]. Sa période, les limitations concrètes d'usage, les personnes concernées et la méthode d'évaluation sont rattachées aux désordres imputables. La demande exclut les périodes ou inconvénients sans lien causal établi.</w:t>
      </w:r>
    </w:p>
    <w:p>
      <w:pPr>
        <w:pStyle w:val="Intertitre"/>
      </w:pPr>
      <w:r>
        <w:t xml:space="preserve">Clause optionnelle : FRAIS DE RELOGEMENT</w:t>
      </w:r>
    </w:p>
    <w:p>
      <w:pPr>
        <w:pStyle w:val="Corps"/>
      </w:pPr>
      <w:r>
        <w:t xml:space="preserve">Les frais de relogement résultent de [Frais de relogement]. Leur nécessité, leur durée, leurs bénéficiaires et leurs justificatifs sont précisés. Ils sont distingués du préjudice de jouissance et limités aux dépenses raisonnablement causées par l'impossibilité d'occuper l'ouvrage ou par les travaux réparatoires.</w:t>
      </w:r>
    </w:p>
    <w:p>
      <w:pPr>
        <w:pStyle w:val="Intertitre"/>
      </w:pPr>
      <w:r>
        <w:t xml:space="preserve">Clause optionnelle : PERTES D'EXPLOITATION</w:t>
      </w:r>
    </w:p>
    <w:p>
      <w:pPr>
        <w:pStyle w:val="Corps"/>
      </w:pPr>
      <w:r>
        <w:t xml:space="preserve">Les pertes d'exploitation sont exposées dans [Pertes d'exploitation]. La période affectée, le lien avec les désordres, la méthode de calcul, les charges économisées et les justificatifs comptables sont précisés. La demande distingue perte de marge, surcoûts et simple baisse d'activité non imputable.</w:t>
      </w:r>
    </w:p>
    <w:p>
      <w:pPr>
        <w:pStyle w:val="Intertitre"/>
      </w:pPr>
      <w:r>
        <w:t xml:space="preserve">Clause optionnelle : FRAIS TECHNIQUES ET D'EXPERTISE</w:t>
      </w:r>
    </w:p>
    <w:p>
      <w:pPr>
        <w:pStyle w:val="Corps"/>
      </w:pPr>
      <w:r>
        <w:t xml:space="preserve">Les frais techniques et d'expertise réclamés sont détaillés dans [Frais techniques et d'expertise]. Leur objet, leur montant, leur paiement et leur utilité pour constater les désordres ou définir les réparations sont établis. Ils ne font pas double emploi avec les dépens ou les frais irrépétibles sollicités séparément.</w:t>
      </w:r>
    </w:p>
    <w:p>
      <w:pPr>
        <w:pStyle w:val="Intertitre"/>
      </w:pPr>
      <w:r>
        <w:t xml:space="preserve">Quel traitement de TVA est justifié ? — choisir une seule variante</w:t>
      </w:r>
    </w:p>
    <w:p>
      <w:pPr>
        <w:pStyle w:val="Variante"/>
      </w:pPr>
      <w:r>
        <w:t xml:space="preserve">Variante : TVA RÉCUPÉRABLE</w:t>
      </w:r>
    </w:p>
    <w:p>
      <w:pPr>
        <w:pStyle w:val="Corps"/>
      </w:pPr>
      <w:r>
        <w:t xml:space="preserve">Le chiffrage tient compte de la récupération de la taxe selon [Traitement de la TVA]. Les montants sont présentés hors taxe dans la mesure où le demandeur peut effectivement déduire la TVA correspondante. Cette position est appliquée de façon cohérente à chaque devis et poste réparatoire.</w:t>
      </w:r>
    </w:p>
    <w:p>
      <w:pPr>
        <w:pStyle w:val="Variante"/>
      </w:pPr>
      <w:r>
        <w:t xml:space="preserve">Variante : TVA NON RÉCUPÉRABLE</w:t>
      </w:r>
    </w:p>
    <w:p>
      <w:pPr>
        <w:pStyle w:val="Corps"/>
      </w:pPr>
      <w:r>
        <w:t xml:space="preserve">Le chiffrage inclut la taxe selon [Traitement de la TVA] dès lors que le demandeur n'en récupère pas le montant. La situation fiscale invoquée est rattachée au bénéficiaire de la condamnation et appliquée de manière cohérente aux travaux et frais concernés.</w:t>
      </w:r>
    </w:p>
    <w:p>
      <w:pPr>
        <w:pStyle w:val="Intertitre"/>
      </w:pPr>
      <w:r>
        <w:t xml:space="preserve">Clause optionnelle : ACTUALISATION DES TRAVAUX</w:t>
      </w:r>
    </w:p>
    <w:p>
      <w:pPr>
        <w:pStyle w:val="Corps"/>
      </w:pPr>
      <w:r>
        <w:t xml:space="preserve">L'actualisation sollicitée est définie dans [Actualisation ou indexation]. Elle précise l'indice, la date de base, la date d'actualisation et le poste auquel elle s'applique. La demande évite de cumuler une indexation avec une réévaluation déjà intégrée dans le chiffrage produit.</w:t>
      </w:r>
    </w:p>
    <w:p>
      <w:pPr>
        <w:pStyle w:val="Intertitre"/>
      </w:pPr>
      <w:r>
        <w:t xml:space="preserve">Clause optionnelle : FONDEMENT DE LA CONDAMNATION IN SOLIDUM</w:t>
      </w:r>
    </w:p>
    <w:p>
      <w:pPr>
        <w:pStyle w:val="Corps"/>
      </w:pPr>
      <w:r>
        <w:t xml:space="preserve">La condamnation in solidum est recherchée sur le fondement de [Fondement de la condamnation in solidum]. La demande identifie les parties dont les fautes ou responsabilités ont concouru au même dommage et délimite les postes concernés. Elle ne confond pas l'obligation à la dette envers la victime avec la contribution définitive entre responsables.</w:t>
      </w:r>
    </w:p>
    <w:p>
      <w:pPr>
        <w:pStyle w:val="Intertitre"/>
      </w:pPr>
      <w:r>
        <w:t xml:space="preserve">Clause optionnelle : FONDEMENT SUBSIDIAIRE</w:t>
      </w:r>
    </w:p>
    <w:p>
      <w:pPr>
        <w:pStyle w:val="Corps"/>
      </w:pPr>
      <w:r>
        <w:t xml:space="preserve">À titre subsidiaire, la responsabilité est recherchée selon [Fondement subsidiaire]. Ce fondement est distingué de la responsabilité décennale principale et comporte ses propres conditions de faute, dommage et causalité. Il n'est examiné que si la prétention principale n'aboutit pas dans le périmètre concerné.</w:t>
      </w:r>
    </w:p>
    <w:p>
      <w:pPr>
        <w:pStyle w:val="Intertitre"/>
      </w:pPr>
      <w:r>
        <w:t xml:space="preserve">Quelle situation amiable doit être exposée ? — choisir une seule variante</w:t>
      </w:r>
    </w:p>
    <w:p>
      <w:pPr>
        <w:pStyle w:val="Variante"/>
      </w:pPr>
      <w:r>
        <w:t xml:space="preserve">Variante : DÉMARCHE AMIABLE NON EXIGÉE</w:t>
      </w:r>
    </w:p>
    <w:p>
      <w:pPr>
        <w:pStyle w:val="Corps"/>
      </w:pPr>
      <w:r>
        <w:t xml:space="preserve">La présente action ne relève pas d'une tentative amiable préalable obligatoire dans la situation exposée. Les démarches effectivement accomplies sont néanmoins retracées dans [Diligences amiables] afin d'établir les échanges antérieurs, sans les présenter comme une condition de recevabilité inexistante.</w:t>
      </w:r>
    </w:p>
    <w:p>
      <w:pPr>
        <w:pStyle w:val="Variante"/>
      </w:pPr>
      <w:r>
        <w:t xml:space="preserve">Variante : DILIGENCES AMIABLES ACCOMPLIES</w:t>
      </w:r>
    </w:p>
    <w:p>
      <w:pPr>
        <w:pStyle w:val="Corps"/>
      </w:pPr>
      <w:r>
        <w:t xml:space="preserve">Les déclarations de sinistre, mises en demeure, réunions d'expertise, propositions et réponses échangées sont retracées dans [Diligences amiables]. Leur date, leur destinataire et leur résultat sont précisés. Ces démarches n'ont pas permis une réparation complète des désordres et préjudices soumis au tribunal.</w:t>
      </w:r>
    </w:p>
    <w:p>
      <w:pPr>
        <w:pStyle w:val="Variante"/>
      </w:pPr>
      <w:r>
        <w:t xml:space="preserve">Variante : DISPENSE DE DÉMARCHE AMIABLE</w:t>
      </w:r>
    </w:p>
    <w:p>
      <w:pPr>
        <w:pStyle w:val="Corps"/>
      </w:pPr>
      <w:r>
        <w:t xml:space="preserve">La dispense de tentative amiable est fondée sur [Dispense de démarche amiable]. Les démarches néanmoins accomplies sont décrites dans [Diligences amiables]. Le demandeur distingue le motif juridique de dispense de la seule absence d'accord et produit les éléments permettant d'en apprécier l'application.</w:t>
      </w:r>
    </w:p>
    <w:p>
      <w:pPr>
        <w:pStyle w:val="Intertitre"/>
      </w:pPr>
      <w:r>
        <w:t xml:space="preserve">MOYENS ADVERSES ET RÉPONSES</w:t>
      </w:r>
    </w:p>
    <w:p>
      <w:pPr>
        <w:pStyle w:val="Corps"/>
      </w:pPr>
      <w:r>
        <w:t xml:space="preserve">Les moyens déjà opposés par les défendeurs et les réponses du demandeur sont exposés dans [Moyens adverses]. Ils sont ordonnés par question litigieuse : qualité, réception, gravité, imputabilité, délai, cause étrangère, police d'assurance, évaluation des réparations et préjudices. Une contestation non établie n'est pas présentée comme un fait acquis.</w:t>
      </w:r>
    </w:p>
    <w:p>
      <w:pPr>
        <w:pStyle w:val="Intertitre"/>
      </w:pPr>
      <w:r>
        <w:t xml:space="preserve">CONCORDANCE DES FAITS, MOYENS, DEMANDES ET PIÈCES</w:t>
      </w:r>
    </w:p>
    <w:p>
      <w:pPr>
        <w:pStyle w:val="Corps"/>
      </w:pPr>
      <w:r>
        <w:t xml:space="preserve">La concordance des faits, moyens, demandes et pièces résulte de [Matrice faits-moyens-pièces]. Pour chaque désordre et chaque défendeur, cette matrice relie la constatation matérielle, le critère juridique invoqué, l'imputabilité soutenue, la réparation demandée et les numéros de pièces correspondants. Elle permet de vérifier qu'aucun chef de dispositif n'est dépourvu de développement factuel ou probatoire.</w:t>
      </w:r>
    </w:p>
    <w:p>
      <w:pPr>
        <w:pStyle w:val="Intertitre"/>
      </w:pPr>
      <w:r>
        <w:t xml:space="preserve">PIÈCES CITÉES</w:t>
      </w:r>
    </w:p>
    <w:p>
      <w:pPr>
        <w:pStyle w:val="Corps"/>
      </w:pPr>
      <w:r>
        <w:t xml:space="preserve">Les pièces citées dans le corps de l'assignation sont identifiées dans [Citations des pièces]. Chaque citation reprend un numéro concordant avec le bordereau et permet de retrouver le document, la date, l'auteur et, lorsque cela est utile, le passage technique invoqué. Les documents non produits ou illisibles ne sont pas présentés comme établissant un fait.</w:t>
      </w:r>
    </w:p>
    <w:p>
      <w:pPr>
        <w:pStyle w:val="Intertitre"/>
      </w:pPr>
      <w:r>
        <w:t xml:space="preserve">BORDEREAU DE PIÈCES</w:t>
      </w:r>
    </w:p>
    <w:p>
      <w:pPr>
        <w:pStyle w:val="Corps"/>
      </w:pPr>
      <w:r>
        <w:t xml:space="preserve">Le bordereau annexé est [Bordereau de pièces]. Sa numérotation est continue et concorde avec les références insérées dans les faits, la discussion et le dispositif. Les rapports, constats, marchés, polices et justificatifs de préjudice y sont décrits de manière suffisamment précise pour éviter toute ambiguïté sur leur version ou leur portée.</w:t>
      </w:r>
    </w:p>
    <w:p>
      <w:pPr>
        <w:pStyle w:val="Intertitre"/>
      </w:pPr>
      <w:r>
        <w:t xml:space="preserve">PAR CES MOTIFS</w:t>
      </w:r>
    </w:p>
    <w:p>
      <w:pPr>
        <w:pStyle w:val="Corps"/>
      </w:pPr>
      <w:r>
        <w:t xml:space="preserve">Par ces motifs, il est demandé au tribunal, après avoir vérifié la recevabilité de l'action, la réception, le délai, la qualité des parties, la nature des désordres, leur imputabilité, les garanties mobilisables et les préjudices établis, de statuer exclusivement sur les chefs ci-après. Chaque condamnation est rattachée au défendeur, au dommage et au fondement développés dans les présentes.</w:t>
      </w:r>
    </w:p>
    <w:p>
      <w:pPr>
        <w:pStyle w:val="Intertitre"/>
      </w:pPr>
      <w:r>
        <w:t xml:space="preserve">CONDAMNATION AU TITRE DE LA RESPONSABILITÉ DÉCENNALE</w:t>
      </w:r>
    </w:p>
    <w:p>
      <w:pPr>
        <w:pStyle w:val="Corps"/>
      </w:pPr>
      <w:r>
        <w:t xml:space="preserve">Juger engagée, dans les limites détaillées par [Demandes de responsabilité décennale], la responsabilité décennale de chacun des constructeurs visés pour les désordres qui lui sont imputés. Prononcer les condamnations correspondantes sans étendre la présomption à une personne ou à un dommage qui ne relève pas du régime décennal exposé dans la discussion.</w:t>
      </w:r>
    </w:p>
    <w:p>
      <w:pPr>
        <w:pStyle w:val="Intertitre"/>
      </w:pPr>
      <w:r>
        <w:t xml:space="preserve">Clause optionnelle : GARANTIE DES ASSUREURS</w:t>
      </w:r>
    </w:p>
    <w:p>
      <w:pPr>
        <w:pStyle w:val="Corps"/>
      </w:pPr>
      <w:r>
        <w:t xml:space="preserve">Condamner les assureurs visés dans [Demandes contre les assureurs] à garantir les conséquences pécuniaires des responsabilités retenues, dans les limites opposables de chaque police et sans excéder la dette de leur assuré. Individualiser l'assureur, l'assuré, le sinistre, les postes couverts et les moyens de garantie tranchés.</w:t>
      </w:r>
    </w:p>
    <w:p>
      <w:pPr>
        <w:pStyle w:val="Intertitre"/>
      </w:pPr>
      <w:r>
        <w:t xml:space="preserve">RÉPARATION PRINCIPALE</w:t>
      </w:r>
    </w:p>
    <w:p>
      <w:pPr>
        <w:pStyle w:val="Corps"/>
      </w:pPr>
      <w:r>
        <w:t xml:space="preserve">Condamner les parties visées à exécuter ou financer les mesures réparatoires définies par [Demandes réparatoires]. La condamnation doit préciser le bénéficiaire, la nature des travaux ou sommes, leur assiette, les modalités utiles d'exécution et l'articulation avec les autres postes, afin d'écarter tout double paiement ou toute réparation étrangère aux désordres retenus.</w:t>
      </w:r>
    </w:p>
    <w:p>
      <w:pPr>
        <w:pStyle w:val="Intertitre"/>
      </w:pPr>
      <w:r>
        <w:t xml:space="preserve">Clause optionnelle : CONDAMNATION — PRÉJUDICE DE JOUISSANCE</w:t>
      </w:r>
    </w:p>
    <w:p>
      <w:pPr>
        <w:pStyle w:val="Corps"/>
      </w:pPr>
      <w:r>
        <w:t xml:space="preserve">Condamner les parties visées au paiement du préjudice de jouissance décrit par [Préjudice de jouissance], pour la période et selon la méthode établies par les pièces. Réserver ou rejeter toute fraction qui ne serait pas directement liée aux désordres retenus.</w:t>
      </w:r>
    </w:p>
    <w:p>
      <w:pPr>
        <w:pStyle w:val="Intertitre"/>
      </w:pPr>
      <w:r>
        <w:t xml:space="preserve">Clause optionnelle : CONDAMNATION — FRAIS DE RELOGEMENT</w:t>
      </w:r>
    </w:p>
    <w:p>
      <w:pPr>
        <w:pStyle w:val="Corps"/>
      </w:pPr>
      <w:r>
        <w:t xml:space="preserve">Condamner les parties visées au paiement des frais de relogement justifiés dans [Frais de relogement], dans la limite des dépenses nécessaires et causalement liées aux désordres ou aux travaux réparatoires. Écarter tout doublon avec le préjudice de jouissance.</w:t>
      </w:r>
    </w:p>
    <w:p>
      <w:pPr>
        <w:pStyle w:val="Intertitre"/>
      </w:pPr>
      <w:r>
        <w:t xml:space="preserve">Clause optionnelle : CONDAMNATION — PERTES D'EXPLOITATION</w:t>
      </w:r>
    </w:p>
    <w:p>
      <w:pPr>
        <w:pStyle w:val="Corps"/>
      </w:pPr>
      <w:r>
        <w:t xml:space="preserve">Condamner les parties visées au paiement des pertes d'exploitation établies dans [Pertes d'exploitation], selon la période, la méthode et les justificatifs retenus. Limiter la condamnation aux pertes directement imputables aux désordres et travaux concernés.</w:t>
      </w:r>
    </w:p>
    <w:p>
      <w:pPr>
        <w:pStyle w:val="Intertitre"/>
      </w:pPr>
      <w:r>
        <w:t xml:space="preserve">Clause optionnelle : CONDAMNATION — FRAIS TECHNIQUES ET D'EXPERTISE</w:t>
      </w:r>
    </w:p>
    <w:p>
      <w:pPr>
        <w:pStyle w:val="Corps"/>
      </w:pPr>
      <w:r>
        <w:t xml:space="preserve">Condamner les parties visées au paiement des frais techniques et d'expertise justifiés dans [Frais techniques et d'expertise], dès lors qu'ils ont été utiles à la constatation des dommages ou à la définition des réparations. Exclure les sommes déjà comprises dans les dépens ou frais irrépétibles.</w:t>
      </w:r>
    </w:p>
    <w:p>
      <w:pPr>
        <w:pStyle w:val="Intertitre"/>
      </w:pPr>
      <w:r>
        <w:t xml:space="preserve">Clause optionnelle : CONDAMNATION IN SOLIDUM</w:t>
      </w:r>
    </w:p>
    <w:p>
      <w:pPr>
        <w:pStyle w:val="Corps"/>
      </w:pPr>
      <w:r>
        <w:t xml:space="preserve">Prononcer la condamnation in solidum des parties identifiées, pour les seuls postes et dommages définis par [Fondement de la condamnation in solidum]. Réserver les recours contributifs entre responsables et ne pas étendre cette condamnation à une partie dont la contribution au même dommage n'est pas retenue.</w:t>
      </w:r>
    </w:p>
    <w:p>
      <w:pPr>
        <w:pStyle w:val="Intertitre"/>
      </w:pPr>
      <w:r>
        <w:t xml:space="preserve">Clause optionnelle : À TITRE SUBSIDIAIRE</w:t>
      </w:r>
    </w:p>
    <w:p>
      <w:pPr>
        <w:pStyle w:val="Corps"/>
      </w:pPr>
      <w:r>
        <w:t xml:space="preserve">À titre subsidiaire, statuer sur les demandes délimitées par [Fondement subsidiaire] si les conditions de la responsabilité décennale principale ne sont pas retenues. Individualiser le défendeur, le fondement, le dommage, le lien causal et la réparation correspondante.</w:t>
      </w:r>
    </w:p>
    <w:p>
      <w:pPr>
        <w:pStyle w:val="Intertitre"/>
      </w:pPr>
      <w:r>
        <w:t xml:space="preserve">Clause optionnelle : DEMANDE D'INTÉRÊTS</w:t>
      </w:r>
    </w:p>
    <w:p>
      <w:pPr>
        <w:pStyle w:val="Corps"/>
      </w:pPr>
      <w:r>
        <w:t xml:space="preserve">Les intérêts sont sollicités selon [Fondement des intérêts], à compter de [Point de départ des intérêts], pour le montant ou le mode de liquidation indiqué dans [Intérêts liquidés]. La demande distingue les intérêts dus sur une obligation de somme de ceux attachés à une indemnité évaluée par le juge.</w:t>
      </w:r>
    </w:p>
    <w:p>
      <w:pPr>
        <w:pStyle w:val="Intertitre"/>
      </w:pPr>
      <w:r>
        <w:t xml:space="preserve">Clause optionnelle : FRAIS NON COMPRIS DANS LES DÉPENS</w:t>
      </w:r>
    </w:p>
    <w:p>
      <w:pPr>
        <w:pStyle w:val="Corps"/>
      </w:pPr>
      <w:r>
        <w:t xml:space="preserve">La somme [Montant demandé au titre de l'article 700] est demandée selon [Justification de l'article 700]. Cette demande est formulée dans les limites des faits, moyens et pièces expressément exposés dans les présentes.</w:t>
      </w:r>
    </w:p>
    <w:p>
      <w:pPr>
        <w:pStyle w:val="Intertitre"/>
      </w:pPr>
      <w:r>
        <w:t xml:space="preserve">Clause optionnelle : DEMANDE RELATIVE AUX DÉPENS</w:t>
      </w:r>
    </w:p>
    <w:p>
      <w:pPr>
        <w:pStyle w:val="Corps"/>
      </w:pPr>
      <w:r>
        <w:t xml:space="preserve">La condamnation aux dépens est demandée selon [Demande relative aux dépens]. Les frais relevant légalement des dépens sont distingués des frais techniques réclamés comme préjudice et des frais non compris dans les dépens sollicités sur un fondement séparé.</w:t>
      </w:r>
    </w:p>
    <w:p>
      <w:pPr>
        <w:pStyle w:val="Intertitre"/>
      </w:pPr>
      <w:r>
        <w:t xml:space="preserve">Clause optionnelle : DEMANDE RELATIVE À L'EXÉCUTION PROVISOIRE</w:t>
      </w:r>
    </w:p>
    <w:p>
      <w:pPr>
        <w:pStyle w:val="Corps"/>
      </w:pPr>
      <w:r>
        <w:t xml:space="preserve">La demande relative à l'exécution provisoire est motivée par [Position sur l'exécution provisoire]. Elle tient compte du régime de droit applicable, des conséquences manifestement excessives alléguées et de la nature des condamnations sollicitées, sans présenter l'exécution provisoire comme une clause librement choisie par les parties.</w:t>
      </w:r>
    </w:p>
    <w:p>
      <w:pPr>
        <w:pStyle w:val="Intertitre"/>
      </w:pPr>
      <w:r>
        <w:t xml:space="preserve">Clause optionnelle : INTÉRÊTS</w:t>
      </w:r>
    </w:p>
    <w:p>
      <w:pPr>
        <w:pStyle w:val="Corps"/>
      </w:pPr>
      <w:r>
        <w:t xml:space="preserve">Assortir les condamnations concernées des intérêts définis par [Fondement des intérêts], à compter de [Point de départ des intérêts], selon les modalités de liquidation retenues. Préciser les sommes concernées afin d'éviter d'appliquer indistinctement le même point de départ à des créances de nature différente.</w:t>
      </w:r>
    </w:p>
    <w:p>
      <w:pPr>
        <w:pStyle w:val="Intertitre"/>
      </w:pPr>
      <w:r>
        <w:t xml:space="preserve">Clause optionnelle : ARTICLE 700 DU CODE DE PROCÉDURE CIVILE</w:t>
      </w:r>
    </w:p>
    <w:p>
      <w:pPr>
        <w:pStyle w:val="Corps"/>
      </w:pPr>
      <w:r>
        <w:t xml:space="preserve">Condamner selon [Justification de l'article 700] à [Montant demandé au titre de l'article 700]. Cette demande est formulée dans les limites des faits, moyens et pièces expressément exposés dans les présentes.</w:t>
      </w:r>
    </w:p>
    <w:p>
      <w:pPr>
        <w:pStyle w:val="Intertitre"/>
      </w:pPr>
      <w:r>
        <w:t xml:space="preserve">Clause optionnelle : DÉPENS</w:t>
      </w:r>
    </w:p>
    <w:p>
      <w:pPr>
        <w:pStyle w:val="Corps"/>
      </w:pPr>
      <w:r>
        <w:t xml:space="preserve">Condamner aux dépens selon [Demande relative aux dépens], dans le périmètre fixé par les règles de procédure applicables. Distinguer expressément cette condamnation des frais techniques indemnisés et de la demande formée au titre des frais non compris dans les dépens.</w:t>
      </w:r>
    </w:p>
    <w:p>
      <w:pPr>
        <w:pStyle w:val="Intertitre"/>
      </w:pPr>
      <w:r>
        <w:t xml:space="preserve">Clause optionnelle : EXÉCUTION PROVISOIRE</w:t>
      </w:r>
    </w:p>
    <w:p>
      <w:pPr>
        <w:pStyle w:val="Corps"/>
      </w:pPr>
      <w:r>
        <w:t xml:space="preserve">Statuer sur l'exécution provisoire au regard de [Position sur l'exécution provisoire] et du régime applicable aux condamnations prononcées. Déterminer, lorsqu'une décision particulière est demandée, les chefs concernés et les motifs qui la justifient.</w:t>
      </w:r>
    </w:p>
    <w:p>
      <w:pPr>
        <w:pStyle w:val="Intertitre"/>
      </w:pPr>
      <w:r>
        <w:t xml:space="preserve">Quel régime de contribution pour l'aide juridique est établi ? — choisir une seule variante</w:t>
      </w:r>
    </w:p>
    <w:p>
      <w:pPr>
        <w:pStyle w:val="Variante"/>
      </w:pPr>
      <w:r>
        <w:t xml:space="preserve">Variante : CONTRIBUTION POUR L'AIDE JURIDIQUE — PAIEMENT</w:t>
      </w:r>
    </w:p>
    <w:p>
      <w:pPr>
        <w:pStyle w:val="Corps"/>
      </w:pPr>
      <w:r>
        <w:t xml:space="preserve">L'instance relève de la contribution au montant officiel de [Montant de la contribution pour l'aide juridique]. Le justificatif électronique [Justificatif de contribution] est à joindre lors de l'introduction de l'instance.</w:t>
      </w:r>
    </w:p>
    <w:p>
      <w:pPr>
        <w:pStyle w:val="Variante"/>
      </w:pPr>
      <w:r>
        <w:t xml:space="preserve">Variante : CONTRIBUTION POUR L'AIDE JURIDIQUE — AIDE JURIDICTIONNELLE</w:t>
      </w:r>
    </w:p>
    <w:p>
      <w:pPr>
        <w:pStyle w:val="Corps"/>
      </w:pPr>
      <w:r>
        <w:t xml:space="preserve">L'exemption liée à l'aide juridictionnelle est établie par [Justificatif d'aide juridictionnelle], à joindre lors de l'introduction de l'instance.</w:t>
      </w:r>
    </w:p>
    <w:p>
      <w:pPr>
        <w:pStyle w:val="Variante"/>
      </w:pPr>
      <w:r>
        <w:t xml:space="preserve">Variante : CONTRIBUTION POUR L'AIDE JURIDIQUE — AUTRE EXEMPTION</w:t>
      </w:r>
    </w:p>
    <w:p>
      <w:pPr>
        <w:pStyle w:val="Corps"/>
      </w:pPr>
      <w:r>
        <w:t xml:space="preserve">L'exemption applicable à l'instance résulte de [Fondement d'exemption de contribution]. La pièce qui l'établit est à joindre lors de l'introduction de l'instance.</w:t>
      </w:r>
    </w:p>
    <w:p>
      <w:pPr>
        <w:pStyle w:val="Intertitre"/>
      </w:pPr>
      <w:r>
        <w:t xml:space="preserve">Quel est l'état vérifié de la remise au greffe ? — choisir une seule variante</w:t>
      </w:r>
    </w:p>
    <w:p>
      <w:pPr>
        <w:pStyle w:val="Variante"/>
      </w:pPr>
      <w:r>
        <w:t xml:space="preserve">Variante : PLACEMENT NON ENCORE OUVERT</w:t>
      </w:r>
    </w:p>
    <w:p>
      <w:pPr>
        <w:pStyle w:val="Corps"/>
      </w:pPr>
      <w:r>
        <w:t xml:space="preserve">La copie de l'assignation n'a pas encore été remise au greffe et aucune saisine de la juridiction n'est affirmée à ce stade.</w:t>
      </w:r>
    </w:p>
    <w:p>
      <w:pPr>
        <w:pStyle w:val="Variante"/>
      </w:pPr>
      <w:r>
        <w:t xml:space="preserve">Variante : COPIE SIGNIFIÉE — PLACEMENT EN ATTENTE</w:t>
      </w:r>
    </w:p>
    <w:p>
      <w:pPr>
        <w:pStyle w:val="Corps"/>
      </w:pPr>
      <w:r>
        <w:t xml:space="preserve">La copie signifiée doit être remise au greffe dans le délai calculé par [Analyse du délai de placement], en tenant compte du délai officiel [Délai de placement avant audience] jours lorsque ses conditions sont réunies.</w:t>
      </w:r>
    </w:p>
    <w:p>
      <w:pPr>
        <w:pStyle w:val="Variante"/>
      </w:pPr>
      <w:r>
        <w:t xml:space="preserve">Variante : PLACEMENT EFFECTUÉ</w:t>
      </w:r>
    </w:p>
    <w:p>
      <w:pPr>
        <w:pStyle w:val="Corps"/>
      </w:pPr>
      <w:r>
        <w:t xml:space="preserve">La copie de l'assignation a été remise au greffe le [Date de placement], sous la référence [Référence de placement], ainsi qu'il résulte de [Preuve du placement].</w:t>
      </w:r>
    </w:p>
    <w:p>
      <w:pPr>
        <w:pStyle w:val="Intertitre"/>
      </w:pPr>
      <w:r>
        <w:t xml:space="preserve">Clause optionnelle : SOUS TOUTES RÉSERVES</w:t>
      </w:r>
    </w:p>
    <w:p>
      <w:pPr>
        <w:pStyle w:val="Corps"/>
      </w:pPr>
      <w:r>
        <w:t xml:space="preserve">Et ce sous toutes réserves. Les demandes maintenues sont celles du dispositif, soutenues par les faits, moyens et pièces de la présente assignation.</w:t>
      </w:r>
    </w:p>
    <w:p>
      <w:pPr>
        <w:pStyle w:val="Intertitre"/>
      </w:pPr>
      <w:r>
        <w:t xml:space="preserve">Clause optionnelle : SIGNATURE DU COMMISSAIRE DE JUSTICE</w:t>
      </w:r>
    </w:p>
    <w:p>
      <w:pPr>
        <w:pStyle w:val="Corps"/>
      </w:pPr>
      <w:r>
        <w:t xml:space="preserve">L'acte signifié porte la signature de [Commissaire de justice signataire], commissaire de justice, conformément aux mentions de signification.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