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DÉCLARATION DE SINISTRE DOMMAGES-OUVRAGE</w:t>
      </w:r>
    </w:p>
    <w:p>
      <w:pPr>
        <w:pStyle w:val="Intertitre"/>
      </w:pPr>
      <w:r>
        <w:t xml:space="preserve">Déclarant et assureur destinataire</w:t>
      </w:r>
    </w:p>
    <w:p>
      <w:pPr>
        <w:pStyle w:val="Corps"/>
      </w:pPr>
      <w:r>
        <w:t xml:space="preserve">La déclaration est formée par [Nom du titulaire de la police], agissant en qualité de [Qualité du souscripteur], auprès de [Nom de l'assureur] au titre du contrat référencé [Référence du contrat d'assurance].</w:t>
      </w:r>
    </w:p>
    <w:p>
      <w:pPr>
        <w:pStyle w:val="Intertitre"/>
      </w:pPr>
      <w:r>
        <w:t xml:space="preserve">Objet et référence du sinistre</w:t>
      </w:r>
    </w:p>
    <w:p>
      <w:pPr>
        <w:pStyle w:val="Corps"/>
      </w:pPr>
      <w:r>
        <w:t xml:space="preserve">Objet : déclaration de sinistre dommages-ouvrage concernant [Travaux de construction] à [Adresse du bien]. La référence interne donnée au sinistre est [Référence interne du dossier de sinistre] et doit être reprise dans tout échange.</w:t>
      </w:r>
    </w:p>
    <w:p>
      <w:pPr>
        <w:pStyle w:val="Intertitre"/>
      </w:pPr>
      <w:r>
        <w:t xml:space="preserve">Qualité du déclarant</w:t>
      </w:r>
    </w:p>
    <w:p>
      <w:pPr>
        <w:pStyle w:val="Corps"/>
      </w:pPr>
      <w:r>
        <w:t xml:space="preserve">La qualité du déclarant et son lien avec le propriétaire actuel ressortent de [Justificatifs de la qualité du souscripteur]. Les coordonnées de réponse vérifiées sont [Coordonnées du titulaire de la police].</w:t>
      </w:r>
    </w:p>
    <w:p>
      <w:pPr>
        <w:pStyle w:val="Intertitre"/>
      </w:pPr>
      <w:r>
        <w:t xml:space="preserve">Police dommages-ouvrage</w:t>
      </w:r>
    </w:p>
    <w:p>
      <w:pPr>
        <w:pStyle w:val="Corps"/>
      </w:pPr>
      <w:r>
        <w:t xml:space="preserve">Le contrat applicable porte la référence [Référence du contrat d'assurance]. Sa période, ses avenants et l’identification de l’opération sont synthétisés dans [Période et étendue de la garantie d'assurance] sans déduire une garantie non confirmée.</w:t>
      </w:r>
    </w:p>
    <w:p>
      <w:pPr>
        <w:pStyle w:val="Intertitre"/>
      </w:pPr>
      <w:r>
        <w:t xml:space="preserve">Opération de construction</w:t>
      </w:r>
    </w:p>
    <w:p>
      <w:pPr>
        <w:pStyle w:val="Corps"/>
      </w:pPr>
      <w:r>
        <w:t xml:space="preserve">L’opération assurée est [Travaux de construction], située [Adresse du bien]. Les intervenants et lots utiles sont recensés dans [Historique de la construction].</w:t>
      </w:r>
    </w:p>
    <w:p>
      <w:pPr>
        <w:pStyle w:val="Intertitre"/>
      </w:pPr>
      <w:r>
        <w:t xml:space="preserve">Moment du sinistre — choisir une seule variante</w:t>
      </w:r>
    </w:p>
    <w:p>
      <w:pPr>
        <w:pStyle w:val="Variante"/>
      </w:pPr>
      <w:r>
        <w:t xml:space="preserve">Variante : Sinistre avant réception</w:t>
      </w:r>
    </w:p>
    <w:p>
      <w:pPr>
        <w:pStyle w:val="Corps"/>
      </w:pPr>
      <w:r>
        <w:t xml:space="preserve">À la date de la déclaration, l’état d’avancement est [Étape d'achèvement]. Les dommages sont apparus selon [Chronologie des dommages] et sont étayés par [Preuves de dommages-intérêts]. La mise en demeure préalable est [Mise en demeure préalable à l'acceptation] et la résiliation du marché pour inexécution est [Résiliation du contrat de construction].</w:t>
      </w:r>
    </w:p>
    <w:p>
      <w:pPr>
        <w:pStyle w:val="Variante"/>
      </w:pPr>
      <w:r>
        <w:t xml:space="preserve">Variante : Sinistre après réception</w:t>
      </w:r>
    </w:p>
    <w:p>
      <w:pPr>
        <w:pStyle w:val="Corps"/>
      </w:pPr>
      <w:r>
        <w:t xml:space="preserve">La réception est intervenue le [Date de réception des travaux]. Les dommages sont apparus selon [Chronologie des dommages] et sont étayés par [Preuves de dommages-intérêts] ; cette chronologie distingue la réception, la première manifestation et les aggravations.</w:t>
      </w:r>
    </w:p>
    <w:p>
      <w:pPr>
        <w:pStyle w:val="Intertitre"/>
      </w:pPr>
      <w:r>
        <w:t xml:space="preserve">Clause optionnelle : Conditions particulières avant réception</w:t>
      </w:r>
    </w:p>
    <w:p>
      <w:pPr>
        <w:pStyle w:val="Corps"/>
      </w:pPr>
      <w:r>
        <w:t xml:space="preserve">La mise en demeure restée infructueuse et la résiliation du marché de l’entrepreneur pour inexécution ont été contrôlées avant de présenter la déclaration sur la voie antérieure à la réception.</w:t>
      </w:r>
    </w:p>
    <w:p>
      <w:pPr>
        <w:pStyle w:val="Intertitre"/>
      </w:pPr>
      <w:r>
        <w:t xml:space="preserve">Clause optionnelle : Déclaration pendant la garantie de parfait achèvement</w:t>
      </w:r>
    </w:p>
    <w:p>
      <w:pPr>
        <w:pStyle w:val="Corps"/>
      </w:pPr>
      <w:r>
        <w:t xml:space="preserve">La mise en demeure adressée à l’entrepreneur pendant la garantie de parfait achèvement est référencée [Référence de la mise en œuvre de l'acquis] et sa copie figure dans les pièces jointes.</w:t>
      </w:r>
    </w:p>
    <w:p>
      <w:pPr>
        <w:pStyle w:val="Intertitre"/>
      </w:pPr>
      <w:r>
        <w:t xml:space="preserve">Localisation des dommages</w:t>
      </w:r>
    </w:p>
    <w:p>
      <w:pPr>
        <w:pStyle w:val="Corps"/>
      </w:pPr>
      <w:r>
        <w:t xml:space="preserve">Les éléments atteints sont [Éléments affectés]. Leur localisation précise dans la construction est [Calendrier de l'emplacement des dommages] et permet une visite sans ambiguïté.</w:t>
      </w:r>
    </w:p>
    <w:p>
      <w:pPr>
        <w:pStyle w:val="Intertitre"/>
      </w:pPr>
      <w:r>
        <w:t xml:space="preserve">Description des dommages</w:t>
      </w:r>
    </w:p>
    <w:p>
      <w:pPr>
        <w:pStyle w:val="Corps"/>
      </w:pPr>
      <w:r>
        <w:t xml:space="preserve">Les dommages constatés sont décrits comme suit : [Description des dommages]. Cette description distingue les manifestations observées des causes encore à expertiser.</w:t>
      </w:r>
    </w:p>
    <w:p>
      <w:pPr>
        <w:pStyle w:val="Intertitre"/>
      </w:pPr>
      <w:r>
        <w:t xml:space="preserve">Évolution du sinistre</w:t>
      </w:r>
    </w:p>
    <w:p>
      <w:pPr>
        <w:pStyle w:val="Corps"/>
      </w:pPr>
      <w:r>
        <w:t xml:space="preserve">L’évolution constatée est [Progression des dommages]. Les dates, conditions météorologiques, usages et interventions concomitantes utiles sont identifiés dans [Preuves de progression].</w:t>
      </w:r>
    </w:p>
    <w:p>
      <w:pPr>
        <w:pStyle w:val="Intertitre"/>
      </w:pPr>
      <w:r>
        <w:t xml:space="preserve">Conséquences sur l’ouvrage</w:t>
      </w:r>
    </w:p>
    <w:p>
      <w:pPr>
        <w:pStyle w:val="Corps"/>
      </w:pPr>
      <w:r>
        <w:t xml:space="preserve">Les conséquences matérielles et d’usage sont [Conséquences des dommages]. Les atteintes à la solidité ou à la destination sont reliées aux constats disponibles sans qualification automatique.</w:t>
      </w:r>
    </w:p>
    <w:p>
      <w:pPr>
        <w:pStyle w:val="Intertitre"/>
      </w:pPr>
      <w:r>
        <w:t xml:space="preserve">Évaluation provisoire</w:t>
      </w:r>
    </w:p>
    <w:p>
      <w:pPr>
        <w:pStyle w:val="Corps"/>
      </w:pPr>
      <w:r>
        <w:t xml:space="preserve">Le coût provisoire connu est [Prévisions de dépenses provisoires] selon [Base des prévisions de dépenses]. Cette estimation est communiquée à titre documentaire et reste soumise aux constatations et chiffrages contradictoires.</w:t>
      </w:r>
    </w:p>
    <w:p>
      <w:pPr>
        <w:pStyle w:val="Intertitre"/>
      </w:pPr>
      <w:r>
        <w:t xml:space="preserve">Nature décennale alléguée</w:t>
      </w:r>
    </w:p>
    <w:p>
      <w:pPr>
        <w:pStyle w:val="Corps"/>
      </w:pPr>
      <w:r>
        <w:t xml:space="preserve">Le rapprochement entre les dommages et les critères de l’article 1792 est exposé dans [Analyse décennale des dommages]. Les incertitudes techniques ou exclusions possibles sont [Incertitudes relatives à la garantie].</w:t>
      </w:r>
    </w:p>
    <w:p>
      <w:pPr>
        <w:pStyle w:val="Intertitre"/>
      </w:pPr>
      <w:r>
        <w:t xml:space="preserve">Clause optionnelle : Mesures conservatoires</w:t>
      </w:r>
    </w:p>
    <w:p>
      <w:pPr>
        <w:pStyle w:val="Corps"/>
      </w:pPr>
      <w:r>
        <w:t xml:space="preserve">Les mesures déjà prises ou immédiatement requises sont [Mesures d'urgence], engagées le [Date de l'intervention d'urgence] pour protéger [Risques protégés] et limiter l’aggravation.</w:t>
      </w:r>
    </w:p>
    <w:p>
      <w:pPr>
        <w:pStyle w:val="Intertitre"/>
      </w:pPr>
      <w:r>
        <w:t xml:space="preserve">Clause optionnelle : Justificatifs des mesures urgentes</w:t>
      </w:r>
    </w:p>
    <w:p>
      <w:pPr>
        <w:pStyle w:val="Corps"/>
      </w:pPr>
      <w:r>
        <w:t xml:space="preserve">Les justificatifs, photographies, factures et constats relatifs aux mesures conservatoires sont [Preuves d'urgence]. Leur nécessité et leur proportion sont décrites dans [Analyse des besoins d'urgence].</w:t>
      </w:r>
    </w:p>
    <w:p>
      <w:pPr>
        <w:pStyle w:val="Intertitre"/>
      </w:pPr>
      <w:r>
        <w:t xml:space="preserve">Prévention de l’aggravation</w:t>
      </w:r>
    </w:p>
    <w:p>
      <w:pPr>
        <w:pStyle w:val="Corps"/>
      </w:pPr>
      <w:r>
        <w:t xml:space="preserve">Dans l’attente de la position de l’assureur, le protocole de surveillance est [Protocole de surveillance] et les restrictions d’usage sont [Restrictions à l'utilisation temporaire]. Toute évolution nouvelle sera datée et transmise.</w:t>
      </w:r>
    </w:p>
    <w:p>
      <w:pPr>
        <w:pStyle w:val="Intertitre"/>
      </w:pPr>
      <w:r>
        <w:t xml:space="preserve">Clause optionnelle : Déclaration antérieure</w:t>
      </w:r>
    </w:p>
    <w:p>
      <w:pPr>
        <w:pStyle w:val="Corps"/>
      </w:pPr>
      <w:r>
        <w:t xml:space="preserve">La déclaration antérieure porte la référence [Référence de la demande antérieure] et la date [Date de la demande antérieure]. Son périmètre et les dommages alors déclarés sont rapprochés du présent sinistre.</w:t>
      </w:r>
    </w:p>
    <w:p>
      <w:pPr>
        <w:pStyle w:val="Intertitre"/>
      </w:pPr>
      <w:r>
        <w:t xml:space="preserve">Clause optionnelle : Suite de la déclaration antérieure</w:t>
      </w:r>
    </w:p>
    <w:p>
      <w:pPr>
        <w:pStyle w:val="Corps"/>
      </w:pPr>
      <w:r>
        <w:t xml:space="preserve">La position, expertise ou indemnisation antérieure est [Issue de la demande antérieure]. Les éléments nouveaux justifiant la présente déclaration sont [Éléments nouveaux relatifs aux dommages].</w:t>
      </w:r>
    </w:p>
    <w:p>
      <w:pPr>
        <w:pStyle w:val="Intertitre"/>
      </w:pPr>
      <w:r>
        <w:t xml:space="preserve">Demande d’enregistrement complet</w:t>
      </w:r>
    </w:p>
    <w:p>
      <w:pPr>
        <w:pStyle w:val="Corps"/>
      </w:pPr>
      <w:r>
        <w:t xml:space="preserve">Il est demandé à l’assureur d’enregistrer la déclaration comme constituée au regard des renseignements transmis et, à défaut, d’identifier précisément tout renseignement minimal manquant dans le délai applicable.</w:t>
      </w:r>
    </w:p>
    <w:p>
      <w:pPr>
        <w:pStyle w:val="Intertitre"/>
      </w:pPr>
      <w:r>
        <w:t xml:space="preserve">Demande de prise en charge</w:t>
      </w:r>
    </w:p>
    <w:p>
      <w:pPr>
        <w:pStyle w:val="Corps"/>
      </w:pPr>
      <w:r>
        <w:t xml:space="preserve">Le traitement demandé est [Traitement demandé]. L’assureur est invité à confirmer le gestionnaire, la référence définitive du dossier et les prochaines opérations.</w:t>
      </w:r>
    </w:p>
    <w:p>
      <w:pPr>
        <w:pStyle w:val="Intertitre"/>
      </w:pPr>
      <w:r>
        <w:t xml:space="preserve">Délais de décision et d’offre</w:t>
      </w:r>
    </w:p>
    <w:p>
      <w:pPr>
        <w:pStyle w:val="Corps"/>
      </w:pPr>
      <w:r>
        <w:t xml:space="preserve">Il est demandé que les notifications sur le principe de la garantie, le rapport préliminaire et, le cas échéant, l’offre d’indemnité interviennent dans les délais applicables à compter de la réception d’une déclaration réputée constituée.</w:t>
      </w:r>
    </w:p>
    <w:p>
      <w:pPr>
        <w:pStyle w:val="Intertitre"/>
      </w:pPr>
      <w:r>
        <w:t xml:space="preserve">Prise en compte des mesures conservatoires</w:t>
      </w:r>
    </w:p>
    <w:p>
      <w:pPr>
        <w:pStyle w:val="Corps"/>
      </w:pPr>
      <w:r>
        <w:t xml:space="preserve">La demande relative aux dépenses de non-aggravation et de sauvegarde est [Demande de financement pour le Conservatoire]. Elle est accompagnée des estimations et justificatifs identifiés, sans engager de réparation définitive non validée.</w:t>
      </w:r>
    </w:p>
    <w:p>
      <w:pPr>
        <w:pStyle w:val="Intertitre"/>
      </w:pPr>
      <w:r>
        <w:t xml:space="preserve">Accès à la construction</w:t>
      </w:r>
    </w:p>
    <w:p>
      <w:pPr>
        <w:pStyle w:val="Corps"/>
      </w:pPr>
      <w:r>
        <w:t xml:space="preserve">Les modalités d’accès proposées sont [Modalités d'accès]. Elles permettent les constatations nécessaires tout en respectant les contraintes de sécurité et d’occupation.</w:t>
      </w:r>
    </w:p>
    <w:p>
      <w:pPr>
        <w:pStyle w:val="Intertitre"/>
      </w:pPr>
      <w:r>
        <w:t xml:space="preserve">Contacts sur site</w:t>
      </w:r>
    </w:p>
    <w:p>
      <w:pPr>
        <w:pStyle w:val="Corps"/>
      </w:pPr>
      <w:r>
        <w:t xml:space="preserve">Les contacts habilités pour organiser les visites sont [Coordonnées du site]. Leurs disponibilités et pouvoirs d’accès doivent être confirmés avant toute convocation.</w:t>
      </w:r>
    </w:p>
    <w:p>
      <w:pPr>
        <w:pStyle w:val="Intertitre"/>
      </w:pPr>
      <w:r>
        <w:t xml:space="preserve">Contraintes de visite</w:t>
      </w:r>
    </w:p>
    <w:p>
      <w:pPr>
        <w:pStyle w:val="Corps"/>
      </w:pPr>
      <w:r>
        <w:t xml:space="preserve">Les contraintes techniques, d’occupation ou de sécurité sont [Contraintes sur le site]. Les équipements, autorisations et précautions nécessaires sont communiqués à l’expert avant son intervention.</w:t>
      </w:r>
    </w:p>
    <w:p>
      <w:pPr>
        <w:pStyle w:val="Intertitre"/>
      </w:pPr>
      <w:r>
        <w:t xml:space="preserve">Dossier remis à l’expert</w:t>
      </w:r>
    </w:p>
    <w:p>
      <w:pPr>
        <w:pStyle w:val="Corps"/>
      </w:pPr>
      <w:r>
        <w:t xml:space="preserve">Les plans, marchés, procès-verbaux, rapports, photographies et devis destinés à l’expertise sont recensés dans [Calendrier des documents d'experts]. Les versions et dates sont conservées.</w:t>
      </w:r>
    </w:p>
    <w:p>
      <w:pPr>
        <w:pStyle w:val="Intertitre"/>
      </w:pPr>
      <w:r>
        <w:t xml:space="preserve">Bordereau des pièces</w:t>
      </w:r>
    </w:p>
    <w:p>
      <w:pPr>
        <w:pStyle w:val="Corps"/>
      </w:pPr>
      <w:r>
        <w:t xml:space="preserve">Les pièces communiquées sont numérotées dans [Calendrier des pièces jointes]. Le bordereau identifie notamment la police, la preuve de qualité, la réception ou première occupation, les dommages et leurs localisations.</w:t>
      </w:r>
    </w:p>
    <w:p>
      <w:pPr>
        <w:pStyle w:val="Intertitre"/>
      </w:pPr>
      <w:r>
        <w:t xml:space="preserve">Préservation des recours</w:t>
      </w:r>
    </w:p>
    <w:p>
      <w:pPr>
        <w:pStyle w:val="Corps"/>
      </w:pPr>
      <w:r>
        <w:t xml:space="preserve">Les preuves et accès nécessaires aux recours sont conservés selon [Mesures de sauvegarde de la subrogation]. Aucune renonciation ou destruction de preuve ne doit compromettre la subrogation de l’assureur.</w:t>
      </w:r>
    </w:p>
    <w:p>
      <w:pPr>
        <w:pStyle w:val="Intertitre"/>
      </w:pPr>
      <w:r>
        <w:t xml:space="preserve">Certification et signature</w:t>
      </w:r>
    </w:p>
    <w:p>
      <w:pPr>
        <w:pStyle w:val="Corps"/>
      </w:pPr>
      <w:r>
        <w:t xml:space="preserve">Fait à [Lieu de signature], le [Date de signature]. La déclaration est certifiée et signée par [Souscripteur signataire] après contrôle de la police, des dates, des pièces et de la version transmise.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