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MISE EN DEMEURE DU CONSTRUCTEUR POUR DÉSORDRES DÉCENNAUX</w:t>
      </w:r>
    </w:p>
    <w:p>
      <w:pPr>
        <w:pStyle w:val="Intertitre"/>
      </w:pPr>
      <w:r>
        <w:t xml:space="preserve">Expéditeur et constructeur destinataire</w:t>
      </w:r>
    </w:p>
    <w:p>
      <w:pPr>
        <w:pStyle w:val="Corps"/>
      </w:pPr>
      <w:r>
        <w:t xml:space="preserve">Le maître de l’ouvrage [Propriétaire du projet], représenté par [Représentant du propriétaire], met en demeure [Nom du constructeur], établi [Adresse du constructeur]. La présente lettre concerne l’opération référencée [Référence du projet].</w:t>
      </w:r>
    </w:p>
    <w:p>
      <w:pPr>
        <w:pStyle w:val="Intertitre"/>
      </w:pPr>
      <w:r>
        <w:t xml:space="preserve">Objet et portée de la mise en demeure</w:t>
      </w:r>
    </w:p>
    <w:p>
      <w:pPr>
        <w:pStyle w:val="Corps"/>
      </w:pPr>
      <w:r>
        <w:t xml:space="preserve">Objet : mise en demeure relative aux désordres décennaux affectant [Référence du projet]. Le présent courrier constitue une interpellation formelle portant sur les obligations de constat, de sécurisation, de proposition technique et de réparation détaillées ci-après.</w:t>
      </w:r>
    </w:p>
    <w:p>
      <w:pPr>
        <w:pStyle w:val="Intertitre"/>
      </w:pPr>
      <w:r>
        <w:t xml:space="preserve">Marché et périmètre contractuel</w:t>
      </w:r>
    </w:p>
    <w:p>
      <w:pPr>
        <w:pStyle w:val="Corps"/>
      </w:pPr>
      <w:r>
        <w:t xml:space="preserve">Le marché ou contrat de construction applicable est [Contrat de construction]. Le périmètre confié au destinataire est décrit par [Périmètre d'intervention du constructeur] et doit être rapproché des pièces contractuelles signées.</w:t>
      </w:r>
    </w:p>
    <w:p>
      <w:pPr>
        <w:pStyle w:val="Intertitre"/>
      </w:pPr>
      <w:r>
        <w:t xml:space="preserve">Réception de l’ouvrage</w:t>
      </w:r>
    </w:p>
    <w:p>
      <w:pPr>
        <w:pStyle w:val="Corps"/>
      </w:pPr>
      <w:r>
        <w:t xml:space="preserve">La réception est intervenue le [Date de réception des travaux]. Son existence et son caractère contradictoire ressortent de [Procès-verbaux de réception] ; cette date commande le calcul du délai de responsabilité invoqué.</w:t>
      </w:r>
    </w:p>
    <w:p>
      <w:pPr>
        <w:pStyle w:val="Intertitre"/>
      </w:pPr>
      <w:r>
        <w:t xml:space="preserve">Réserves à la réception</w:t>
      </w:r>
    </w:p>
    <w:p>
      <w:pPr>
        <w:pStyle w:val="Corps"/>
      </w:pPr>
      <w:r>
        <w:t xml:space="preserve">Les réserves portées ou absentes lors de la réception sont exactement les suivantes : [Réserves à la réception]. Leur traitement et leur relation avec les désordres révélés ultérieurement doivent être vérifiés sans assimilation automatique.</w:t>
      </w:r>
    </w:p>
    <w:p>
      <w:pPr>
        <w:pStyle w:val="Intertitre"/>
      </w:pPr>
      <w:r>
        <w:t xml:space="preserve">Qualification décennale principale — choisir une seule variante</w:t>
      </w:r>
    </w:p>
    <w:p>
      <w:pPr>
        <w:pStyle w:val="Variante"/>
      </w:pPr>
      <w:r>
        <w:t xml:space="preserve">Variante : Atteinte à la solidité</w:t>
      </w:r>
    </w:p>
    <w:p>
      <w:pPr>
        <w:pStyle w:val="Corps"/>
      </w:pPr>
      <w:r>
        <w:t xml:space="preserve">Les désordres qualifiés au titre de la solidité sont [Défauts structuraux]. Ils affectent les éléments [Éléments structuraux affectés] et sont étayés par [Preuves structurelles]. La gravité alléguée est limitée aux conséquences effectivement documentées.</w:t>
      </w:r>
    </w:p>
    <w:p>
      <w:pPr>
        <w:pStyle w:val="Variante"/>
      </w:pPr>
      <w:r>
        <w:t xml:space="preserve">Variante : Impropriété à destination</w:t>
      </w:r>
    </w:p>
    <w:p>
      <w:pPr>
        <w:pStyle w:val="Corps"/>
      </w:pPr>
      <w:r>
        <w:t xml:space="preserve">Les désordres invoqués au titre de l’impropriété sont [Défauts d'ajustement]. La destination contractuelle ou normale est [Utilisation prévue] et l’atteinte concrète à cet usage est établie par [Justificatifs des conséquences d'usage].</w:t>
      </w:r>
    </w:p>
    <w:p>
      <w:pPr>
        <w:pStyle w:val="Intertitre"/>
      </w:pPr>
      <w:r>
        <w:t xml:space="preserve">Clause optionnelle : Équipement indissociable</w:t>
      </w:r>
    </w:p>
    <w:p>
      <w:pPr>
        <w:pStyle w:val="Corps"/>
      </w:pPr>
      <w:r>
        <w:t xml:space="preserve">L’élément d’équipement concerné et son incorporation sont décrits dans [Informations sur l'équipement affecté]. L’impossibilité de le déposer, démonter ou remplacer sans détérioration de l’ouvrage est établie par [Preuves d'indissociabilité].</w:t>
      </w:r>
    </w:p>
    <w:p>
      <w:pPr>
        <w:pStyle w:val="Intertitre"/>
      </w:pPr>
      <w:r>
        <w:t xml:space="preserve">Chronologie des désordres</w:t>
      </w:r>
    </w:p>
    <w:p>
      <w:pPr>
        <w:pStyle w:val="Corps"/>
      </w:pPr>
      <w:r>
        <w:t xml:space="preserve">La chronologie vérifiée des premières manifestations, aggravations, constats et interventions est [Chronologie des défauts]. Chaque date renvoie à une pièce identifiable.</w:t>
      </w:r>
    </w:p>
    <w:p>
      <w:pPr>
        <w:pStyle w:val="Intertitre"/>
      </w:pPr>
      <w:r>
        <w:t xml:space="preserve">Constats matériels</w:t>
      </w:r>
    </w:p>
    <w:p>
      <w:pPr>
        <w:pStyle w:val="Corps"/>
      </w:pPr>
      <w:r>
        <w:t xml:space="preserve">Les constats matériels disponibles sont synthétisés dans [Observations sur le site]. Les zones affectées, conditions d’observation et limites de chaque constat sont précisées dans [Limites d'observation].</w:t>
      </w:r>
    </w:p>
    <w:p>
      <w:pPr>
        <w:pStyle w:val="Intertitre"/>
      </w:pPr>
      <w:r>
        <w:t xml:space="preserve">Éléments de preuve</w:t>
      </w:r>
    </w:p>
    <w:p>
      <w:pPr>
        <w:pStyle w:val="Corps"/>
      </w:pPr>
      <w:r>
        <w:t xml:space="preserve">Les photographies, rapports, mesures et relevés utiles sont inventoriés dans [Défaut du calendrier des preuves]. Leur auteur, leur date et leur rattachement à chaque désordre sont contrôlés avant envoi.</w:t>
      </w:r>
    </w:p>
    <w:p>
      <w:pPr>
        <w:pStyle w:val="Intertitre"/>
      </w:pPr>
      <w:r>
        <w:t xml:space="preserve">Démarches antérieures</w:t>
      </w:r>
    </w:p>
    <w:p>
      <w:pPr>
        <w:pStyle w:val="Corps"/>
      </w:pPr>
      <w:r>
        <w:t xml:space="preserve">Les signalements, réponses et interventions antérieurs sont [Correspondance préalable]. Cette chronologie distingue les engagements fermes, les réserves et les simples échanges préparatoires.</w:t>
      </w:r>
    </w:p>
    <w:p>
      <w:pPr>
        <w:pStyle w:val="Intertitre"/>
      </w:pPr>
      <w:r>
        <w:t xml:space="preserve">Qualité et intervention du constructeur</w:t>
      </w:r>
    </w:p>
    <w:p>
      <w:pPr>
        <w:pStyle w:val="Corps"/>
      </w:pPr>
      <w:r>
        <w:t xml:space="preserve">La qualité juridique du destinataire et son lien avec le maître de l’ouvrage résultent de [Fondement de la responsabilité]. Son intervention matérielle sur les zones litigieuses ressort de [Périmètre d'intervention du constructeur].</w:t>
      </w:r>
    </w:p>
    <w:p>
      <w:pPr>
        <w:pStyle w:val="Intertitre"/>
      </w:pPr>
      <w:r>
        <w:t xml:space="preserve">Imputabilité technique alléguée</w:t>
      </w:r>
    </w:p>
    <w:p>
      <w:pPr>
        <w:pStyle w:val="Corps"/>
      </w:pPr>
      <w:r>
        <w:t xml:space="preserve">Le rattachement des désordres aux travaux du constructeur repose sur [Preuves de causalité]. Les causes concurrentes ou inconnues sont signalées dans [Examen des autres causes] et ne sont pas occultées.</w:t>
      </w:r>
    </w:p>
    <w:p>
      <w:pPr>
        <w:pStyle w:val="Intertitre"/>
      </w:pPr>
      <w:r>
        <w:t xml:space="preserve">Qualification décennale</w:t>
      </w:r>
    </w:p>
    <w:p>
      <w:pPr>
        <w:pStyle w:val="Corps"/>
      </w:pPr>
      <w:r>
        <w:t xml:space="preserve">La demande est fondée exclusivement sur la qualification sélectionnée et sur les éléments techniques vérifiés. Le fondement synthétique retenu est [Fondement de la responsabilité] ; aucune qualification décennale n’est déduite du seul intitulé du courrier.</w:t>
      </w:r>
    </w:p>
    <w:p>
      <w:pPr>
        <w:pStyle w:val="Intertitre"/>
      </w:pPr>
      <w:r>
        <w:t xml:space="preserve">Délai de responsabilité</w:t>
      </w:r>
    </w:p>
    <w:p>
      <w:pPr>
        <w:pStyle w:val="Corps"/>
      </w:pPr>
      <w:r>
        <w:t xml:space="preserve">Le calcul du délai à partir de la réception est consigné dans [Analyse décennale]. La date butoir retenue est [Échéance de la garantie décennale] et les actes déjà accomplis pour préserver les droits sont [Mesures de limitation].</w:t>
      </w:r>
    </w:p>
    <w:p>
      <w:pPr>
        <w:pStyle w:val="Intertitre"/>
      </w:pPr>
      <w:r>
        <w:t xml:space="preserve">Interpellation formelle</w:t>
      </w:r>
    </w:p>
    <w:p>
      <w:pPr>
        <w:pStyle w:val="Corps"/>
      </w:pPr>
      <w:r>
        <w:t xml:space="preserve">En conséquence, [Nom du constructeur] est formellement mis en demeure d’exécuter les demandes déterminées dans le présent courrier et de confirmer sa position dans le délai [Délai de réponse].</w:t>
      </w:r>
    </w:p>
    <w:p>
      <w:pPr>
        <w:pStyle w:val="Intertitre"/>
      </w:pPr>
      <w:r>
        <w:t xml:space="preserve">Clause optionnelle : Mesures conservatoires urgentes</w:t>
      </w:r>
    </w:p>
    <w:p>
      <w:pPr>
        <w:pStyle w:val="Corps"/>
      </w:pPr>
      <w:r>
        <w:t xml:space="preserve">La zone de risque est [Zone à risque urgente]. Il est exigé avant [Délai d'urgence] de mettre en œuvre [Portée des travaux d'urgence] afin de prévenir l’aggravation et de protéger les personnes et les biens.</w:t>
      </w:r>
    </w:p>
    <w:p>
      <w:pPr>
        <w:pStyle w:val="Intertitre"/>
      </w:pPr>
      <w:r>
        <w:t xml:space="preserve">Clause optionnelle : Confirmation de sécurité</w:t>
      </w:r>
    </w:p>
    <w:p>
      <w:pPr>
        <w:pStyle w:val="Corps"/>
      </w:pPr>
      <w:r>
        <w:t xml:space="preserve">Le constructeur doit transmettre la confirmation suivante : [Confirmation de sécurité]. Elle doit identifier l’auteur du contrôle, sa compétence, la date de visite et les limites de son appréciation.</w:t>
      </w:r>
    </w:p>
    <w:p>
      <w:pPr>
        <w:pStyle w:val="Intertitre"/>
      </w:pPr>
      <w:r>
        <w:t xml:space="preserve">Proposition de réparation</w:t>
      </w:r>
    </w:p>
    <w:p>
      <w:pPr>
        <w:pStyle w:val="Corps"/>
      </w:pPr>
      <w:r>
        <w:t xml:space="preserve">La proposition actuellement connue est [Proposition de réparation]. Le constructeur est requis de remettre une solution chiffrée et phasée couvrant exactement [Périmètre des mesures correctives demandées].</w:t>
      </w:r>
    </w:p>
    <w:p>
      <w:pPr>
        <w:pStyle w:val="Intertitre"/>
      </w:pPr>
      <w:r>
        <w:t xml:space="preserve">Méthode et calendrier</w:t>
      </w:r>
    </w:p>
    <w:p>
      <w:pPr>
        <w:pStyle w:val="Corps"/>
      </w:pPr>
      <w:r>
        <w:t xml:space="preserve">La méthode attendue doit préciser [Énoncé de la méthode de réparation], le calendrier [Calendrier des réparations], les contrôles de résultat [Essais d'acceptation des réparations] et les responsables de chaque intervention.</w:t>
      </w:r>
    </w:p>
    <w:p>
      <w:pPr>
        <w:pStyle w:val="Intertitre"/>
      </w:pPr>
      <w:r>
        <w:t xml:space="preserve">Clause optionnelle : Déclaration à l’assureur décennal</w:t>
      </w:r>
    </w:p>
    <w:p>
      <w:pPr>
        <w:pStyle w:val="Corps"/>
      </w:pPr>
      <w:r>
        <w:t xml:space="preserve">L’assureur identifié est [Assureur de responsabilité décennale du constructeur] et la police est référencée [Référence de la police d'assurance]. Le constructeur doit justifier sans délai de la déclaration du sinistre et de la transmission du présent dossier.</w:t>
      </w:r>
    </w:p>
    <w:p>
      <w:pPr>
        <w:pStyle w:val="Intertitre"/>
      </w:pPr>
      <w:r>
        <w:t xml:space="preserve">Clause optionnelle : Justificatif de saisine de l’assureur</w:t>
      </w:r>
    </w:p>
    <w:p>
      <w:pPr>
        <w:pStyle w:val="Corps"/>
      </w:pPr>
      <w:r>
        <w:t xml:space="preserve">L’accusé ou justificatif de déclaration disponible est [RECONNAISSANCE DE RÉFÉRENCE]. À défaut, le constructeur est requis de communiquer la date, le canal, la référence et les coordonnées du gestionnaire saisi.</w:t>
      </w:r>
    </w:p>
    <w:p>
      <w:pPr>
        <w:pStyle w:val="Intertitre"/>
      </w:pPr>
      <w:r>
        <w:t xml:space="preserve">Réunion contradictoire</w:t>
      </w:r>
    </w:p>
    <w:p>
      <w:pPr>
        <w:pStyle w:val="Corps"/>
      </w:pPr>
      <w:r>
        <w:t xml:space="preserve">La réunion technique proposée est [Informations sur la réunion d'experts]. Les participants, pouvoirs, modalités d’accès, opérations souhaitées et règles de conservation des constatations doivent être confirmés par écrit.</w:t>
      </w:r>
    </w:p>
    <w:p>
      <w:pPr>
        <w:pStyle w:val="Intertitre"/>
      </w:pPr>
      <w:r>
        <w:t xml:space="preserve">Documents techniques requis</w:t>
      </w:r>
    </w:p>
    <w:p>
      <w:pPr>
        <w:pStyle w:val="Corps"/>
      </w:pPr>
      <w:r>
        <w:t xml:space="preserve">Les documents à communiquer sont [Documents techniques demandés]. Leur transmission complète est demandée avant [Date limite de communication des documents], avec identification de la version et de l’auteur de chaque pièce.</w:t>
      </w:r>
    </w:p>
    <w:p>
      <w:pPr>
        <w:pStyle w:val="Intertitre"/>
      </w:pPr>
      <w:r>
        <w:t xml:space="preserve">Préservation des constatations</w:t>
      </w:r>
    </w:p>
    <w:p>
      <w:pPr>
        <w:pStyle w:val="Corps"/>
      </w:pPr>
      <w:r>
        <w:t xml:space="preserve">Avant accord contradictoire, aucune reprise destructive ne doit intervenir hors urgence documentée. Le protocole de préservation proposé est [Protocole de conservation des preuves] et les accès sont organisés selon [Protocole d'accès au site].</w:t>
      </w:r>
    </w:p>
    <w:p>
      <w:pPr>
        <w:pStyle w:val="Intertitre"/>
      </w:pPr>
      <w:r>
        <w:t xml:space="preserve">Suites en cas d’inexécution</w:t>
      </w:r>
    </w:p>
    <w:p>
      <w:pPr>
        <w:pStyle w:val="Corps"/>
      </w:pPr>
      <w:r>
        <w:t xml:space="preserve">À défaut d’exécution complète dans les délais, les voies envisagées sont [Recours envisagés]. Leur mise en œuvre dépendra des preuves, délais, compétences et mesures urgentes alors vérifiés.</w:t>
      </w:r>
    </w:p>
    <w:p>
      <w:pPr>
        <w:pStyle w:val="Intertitre"/>
      </w:pPr>
      <w:r>
        <w:t xml:space="preserve">Réparations par un tiers</w:t>
      </w:r>
    </w:p>
    <w:p>
      <w:pPr>
        <w:pStyle w:val="Corps"/>
      </w:pPr>
      <w:r>
        <w:t xml:space="preserve">Le recours éventuel à une entreprise tierce suivra [Procédure de réparation de tiers]. Les devis, constats préalables, notifications et possibilités de contradictoire seront conservés avant toute reprise non urgente.</w:t>
      </w:r>
    </w:p>
    <w:p>
      <w:pPr>
        <w:pStyle w:val="Intertitre"/>
      </w:pPr>
      <w:r>
        <w:t xml:space="preserve">Réserve des préjudices</w:t>
      </w:r>
    </w:p>
    <w:p>
      <w:pPr>
        <w:pStyle w:val="Corps"/>
      </w:pPr>
      <w:r>
        <w:t xml:space="preserve">Le maître de l’ouvrage formule la réserve suivante quant aux préjudices et coûts complémentaires : [Réserve pour dommages-intérêts]. Cette réserve ne chiffre ni ne reconnaît un poste non justifié.</w:t>
      </w:r>
    </w:p>
    <w:p>
      <w:pPr>
        <w:pStyle w:val="Intertitre"/>
      </w:pPr>
      <w:r>
        <w:t xml:space="preserve">Pièces, envoi et signature</w:t>
      </w:r>
    </w:p>
    <w:p>
      <w:pPr>
        <w:pStyle w:val="Corps"/>
      </w:pPr>
      <w:r>
        <w:t xml:space="preserve">Les pièces jointes sont listées dans [Calendrier des pièces jointes]. Le courrier est adressé par [Méthode de livraison]. Fait à [Lieu de signature], le [Date de signature], et signé par [Propriétaire signataire] après contrôle des pouvoirs et de la version envoyée.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