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DEMANDE D’ACTES D’INSTRUCTION</w:t>
      </w:r>
    </w:p>
    <w:p>
      <w:pPr>
        <w:pStyle w:val="Intertitre"/>
      </w:pPr>
      <w:r>
        <w:t xml:space="preserve">Intitulé de la demande</w:t>
      </w:r>
    </w:p>
    <w:p>
      <w:pPr>
        <w:pStyle w:val="Corps"/>
      </w:pPr>
      <w:r>
        <w:t xml:space="preserve">DEMANDE D’ACTES D’INSTRUCTION présentée dans l’information référencée [Référence - affaire pénale] à l’attention de [Autorité chargée de l'enquête].</w:t>
      </w:r>
    </w:p>
    <w:p>
      <w:pPr>
        <w:pStyle w:val="Intertitre"/>
      </w:pPr>
      <w:r>
        <w:t xml:space="preserve">Juge d’instruction saisi</w:t>
      </w:r>
    </w:p>
    <w:p>
      <w:pPr>
        <w:pStyle w:val="Corps"/>
      </w:pPr>
      <w:r>
        <w:t xml:space="preserve">La demande est adressée à [Autorité chargée de l'enquête], magistrat ou cabinet saisi de l’information portant la référence [Référence - affaire pénale]. L’identité du greffe et les coordonnées de dépôt sont [Renseignements concernant le registre].</w:t>
      </w:r>
    </w:p>
    <w:p>
      <w:pPr>
        <w:pStyle w:val="Intertitre"/>
      </w:pPr>
      <w:r>
        <w:t xml:space="preserve">État procédural</w:t>
      </w:r>
    </w:p>
    <w:p>
      <w:pPr>
        <w:pStyle w:val="Corps"/>
      </w:pPr>
      <w:r>
        <w:t xml:space="preserve">Le statut actuel de l’information est [État de la procédure]. Les dates de saisine, de mise en examen, de constitution de partie civile ou de notification utiles sont recensées dans [Étapes de la procédure].</w:t>
      </w:r>
    </w:p>
    <w:p>
      <w:pPr>
        <w:pStyle w:val="Intertitre"/>
      </w:pPr>
      <w:r>
        <w:t xml:space="preserve">Identité et qualité du demandeur</w:t>
      </w:r>
    </w:p>
    <w:p>
      <w:pPr>
        <w:pStyle w:val="Corps"/>
      </w:pPr>
      <w:r>
        <w:t xml:space="preserve">La demande est formée par [Nom de la partie requérante], en qualité de [Qualité de la partie requérante]. Les actes établissant cette qualité et l’accès au droit invoqué sont [Preuve permanente].</w:t>
      </w:r>
    </w:p>
    <w:p>
      <w:pPr>
        <w:pStyle w:val="Intertitre"/>
      </w:pPr>
      <w:r>
        <w:t xml:space="preserve">Avocat constitué</w:t>
      </w:r>
    </w:p>
    <w:p>
      <w:pPr>
        <w:pStyle w:val="Corps"/>
      </w:pPr>
      <w:r>
        <w:t xml:space="preserve">Le demandeur est assisté ou représenté par [Avocat requérant]. La désignation, les coordonnées de notification et l’étendue du mandat sont [Informations sur le mandat de l'avocat].</w:t>
      </w:r>
    </w:p>
    <w:p>
      <w:pPr>
        <w:pStyle w:val="Intertitre"/>
      </w:pPr>
      <w:r>
        <w:t xml:space="preserve">Contexte de l’information</w:t>
      </w:r>
    </w:p>
    <w:p>
      <w:pPr>
        <w:pStyle w:val="Corps"/>
      </w:pPr>
      <w:r>
        <w:t xml:space="preserve">Le contexte factuel et procédural utile à la demande est [Contexte de l'enquête]. Cette présentation distingue les faits établis, les déclarations contradictoires et les hypothèses restant à vérifier.</w:t>
      </w:r>
    </w:p>
    <w:p>
      <w:pPr>
        <w:pStyle w:val="Intertitre"/>
      </w:pPr>
      <w:r>
        <w:t xml:space="preserve">Actes déjà accomplis</w:t>
      </w:r>
    </w:p>
    <w:p>
      <w:pPr>
        <w:pStyle w:val="Corps"/>
      </w:pPr>
      <w:r>
        <w:t xml:space="preserve">Les actes déjà réalisés sont recensés dans [Calendrier des actes achevés]. Pour chacun, la date, l’auteur, les personnes présentes, les constatations et les limites utiles sont indiqués.</w:t>
      </w:r>
    </w:p>
    <w:p>
      <w:pPr>
        <w:pStyle w:val="Intertitre"/>
      </w:pPr>
      <w:r>
        <w:t xml:space="preserve">Lacunes actuelles de l’information</w:t>
      </w:r>
    </w:p>
    <w:p>
      <w:pPr>
        <w:pStyle w:val="Corps"/>
      </w:pPr>
      <w:r>
        <w:t xml:space="preserve">Les lacunes auxquelles la demande entend répondre sont [Lacunes dans les enquêtes]. Elles sont rapprochées des cotes ou pièces [Citations d'enregistrements pertinentes] sans présenter comme acquis ce qui reste discuté.</w:t>
      </w:r>
    </w:p>
    <w:p>
      <w:pPr>
        <w:pStyle w:val="Intertitre"/>
      </w:pPr>
      <w:r>
        <w:t xml:space="preserve">Catégorie principale d’acte — choisir une seule variante</w:t>
      </w:r>
    </w:p>
    <w:p>
      <w:pPr>
        <w:pStyle w:val="Variante"/>
      </w:pPr>
      <w:r>
        <w:t xml:space="preserve">Variante : Audition, interrogatoire ou confrontation sollicités</w:t>
      </w:r>
    </w:p>
    <w:p>
      <w:pPr>
        <w:pStyle w:val="Corps"/>
      </w:pPr>
      <w:r>
        <w:t xml:space="preserve">Il est demandé de procéder aux actes suivants avec les personnes précisément identifiées : [Personnes à entendre]. Les thèmes factuels et contradictions à traiter sont [Sujets de l'audition] ; les modalités utiles, dont la qualité de chaque personne et les confrontations demandées, sont [Modalités d'audition].</w:t>
      </w:r>
    </w:p>
    <w:p>
      <w:pPr>
        <w:pStyle w:val="Variante"/>
      </w:pPr>
      <w:r>
        <w:t xml:space="preserve">Variante : Expertise ou acte technique sollicité</w:t>
      </w:r>
    </w:p>
    <w:p>
      <w:pPr>
        <w:pStyle w:val="Corps"/>
      </w:pPr>
      <w:r>
        <w:t xml:space="preserve">L’acte technique demandé est [Description de l'acte technique]. La mission proposée à l’expert est [Mission d'experts] et le matériel, les données ou scellés à examiner sont [Matériel technique]. Les questions doivent rester techniques, déterminées et compatibles avec les pouvoirs du juge.</w:t>
      </w:r>
    </w:p>
    <w:p>
      <w:pPr>
        <w:pStyle w:val="Intertitre"/>
      </w:pPr>
      <w:r>
        <w:t xml:space="preserve">Clause optionnelle : Actes coordonnés</w:t>
      </w:r>
    </w:p>
    <w:p>
      <w:pPr>
        <w:pStyle w:val="Corps"/>
      </w:pPr>
      <w:r>
        <w:t xml:space="preserve">Les actes complémentaires sont détaillés dans [Calendrier législatif supplémentaire]. Leur ordre opérationnel est [Séquence de l'acte] et l’objectif probatoire commun est [Objectif véridentiel].</w:t>
      </w:r>
    </w:p>
    <w:p>
      <w:pPr>
        <w:pStyle w:val="Intertitre"/>
      </w:pPr>
      <w:r>
        <w:t xml:space="preserve">Dispositif des actes sollicités</w:t>
      </w:r>
    </w:p>
    <w:p>
      <w:pPr>
        <w:pStyle w:val="Corps"/>
      </w:pPr>
      <w:r>
        <w:t xml:space="preserve">En conséquence, il est demandé au juge d’ordonner exactement les diligences suivantes : [Demandes d'acte opérationnel]. Chaque mesure est formulée séparément afin de permettre une décision distincte et exécutable.</w:t>
      </w:r>
    </w:p>
    <w:p>
      <w:pPr>
        <w:pStyle w:val="Intertitre"/>
      </w:pPr>
      <w:r>
        <w:t xml:space="preserve">Ordre et articulation des diligences</w:t>
      </w:r>
    </w:p>
    <w:p>
      <w:pPr>
        <w:pStyle w:val="Corps"/>
      </w:pPr>
      <w:r>
        <w:t xml:space="preserve">L’ordre d’exécution proposé est [Procédure d'exécution demandé]. Les dépendances entre auditions, exploitations, transports, productions ou expertise sont précisées sans imposer au magistrat une modalité étrangère à ses pouvoirs.</w:t>
      </w:r>
    </w:p>
    <w:p>
      <w:pPr>
        <w:pStyle w:val="Intertitre"/>
      </w:pPr>
      <w:r>
        <w:t xml:space="preserve">Question probatoire</w:t>
      </w:r>
    </w:p>
    <w:p>
      <w:pPr>
        <w:pStyle w:val="Corps"/>
      </w:pPr>
      <w:r>
        <w:t xml:space="preserve">La question que les actes doivent éclairer est [Délivrance de preuves]. Elle est rattachée aux faits poursuivis ou contestés et aux éléments du dossier identifiés.</w:t>
      </w:r>
    </w:p>
    <w:p>
      <w:pPr>
        <w:pStyle w:val="Intertitre"/>
      </w:pPr>
      <w:r>
        <w:t xml:space="preserve">Nécessité pour la manifestation de la vérité</w:t>
      </w:r>
    </w:p>
    <w:p>
      <w:pPr>
        <w:pStyle w:val="Corps"/>
      </w:pPr>
      <w:r>
        <w:t xml:space="preserve">La nécessité de chaque acte est analysée dans [Analyse de la nécessité]. L’analyse expose ce que la diligence peut confirmer, infirmer ou préciser, à charge comme à décharge.</w:t>
      </w:r>
    </w:p>
    <w:p>
      <w:pPr>
        <w:pStyle w:val="Intertitre"/>
      </w:pPr>
      <w:r>
        <w:t xml:space="preserve">Objectif attendu</w:t>
      </w:r>
    </w:p>
    <w:p>
      <w:pPr>
        <w:pStyle w:val="Corps"/>
      </w:pPr>
      <w:r>
        <w:t xml:space="preserve">Le résultat probatoire recherché est [Objectif véridentiel]. La demande ne présume pas le résultat de l’acte et distingue la question posée de la réponse attendue.</w:t>
      </w:r>
    </w:p>
    <w:p>
      <w:pPr>
        <w:pStyle w:val="Intertitre"/>
      </w:pPr>
      <w:r>
        <w:t xml:space="preserve">Périmètre déterminé</w:t>
      </w:r>
    </w:p>
    <w:p>
      <w:pPr>
        <w:pStyle w:val="Corps"/>
      </w:pPr>
      <w:r>
        <w:t xml:space="preserve">Les limites matérielles, temporelles et personnelles de la mesure sont [Limites de portée demandées]. Elles excluent les investigations sans lien direct avec la question probatoire exposée.</w:t>
      </w:r>
    </w:p>
    <w:p>
      <w:pPr>
        <w:pStyle w:val="Intertitre"/>
      </w:pPr>
      <w:r>
        <w:t xml:space="preserve">Mesures moins intrusives examinées</w:t>
      </w:r>
    </w:p>
    <w:p>
      <w:pPr>
        <w:pStyle w:val="Corps"/>
      </w:pPr>
      <w:r>
        <w:t xml:space="preserve">Les diligences moins attentatoires envisagées sont [Mesures moins intrusives]. Leur insuffisance ou leur complémentarité est expliquée dans [Analyse des mesures de remplacement].</w:t>
      </w:r>
    </w:p>
    <w:p>
      <w:pPr>
        <w:pStyle w:val="Intertitre"/>
      </w:pPr>
      <w:r>
        <w:t xml:space="preserve">Proportionnalité de la demande</w:t>
      </w:r>
    </w:p>
    <w:p>
      <w:pPr>
        <w:pStyle w:val="Corps"/>
      </w:pPr>
      <w:r>
        <w:t xml:space="preserve">La proportion entre l’utilité attendue, la durée, le coût, les droits des personnes concernées et la portée de l’acte est analysée dans [Analyse de la proportionnalité].</w:t>
      </w:r>
    </w:p>
    <w:p>
      <w:pPr>
        <w:pStyle w:val="Intertitre"/>
      </w:pPr>
      <w:r>
        <w:t xml:space="preserve">Clause optionnelle : Conservation urgente d’éléments probatoires</w:t>
      </w:r>
    </w:p>
    <w:p>
      <w:pPr>
        <w:pStyle w:val="Corps"/>
      </w:pPr>
      <w:r>
        <w:t xml:space="preserve">Les éléments à préserver sont [Preuves à préserver]. La conservation est demandée avant [Délai de conservation] en raison du risque suivant : [Risque de perte ou de modification]. Les opérations sollicitées sont limitées à [Opérations urgentes de préservation].</w:t>
      </w:r>
    </w:p>
    <w:p>
      <w:pPr>
        <w:pStyle w:val="Intertitre"/>
      </w:pPr>
      <w:r>
        <w:t xml:space="preserve">Inventaire des pièces d’appui</w:t>
      </w:r>
    </w:p>
    <w:p>
      <w:pPr>
        <w:pStyle w:val="Corps"/>
      </w:pPr>
      <w:r>
        <w:t xml:space="preserve">Les pièces, cotes, scellés, supports ou procès-verbaux sur lesquels repose la demande sont [Calendrier des éléments de preuve à l'appui]. Leur lien avec chaque acte sollicité est indiqué sans reproduire inutilement le dossier.</w:t>
      </w:r>
    </w:p>
    <w:p>
      <w:pPr>
        <w:pStyle w:val="Intertitre"/>
      </w:pPr>
      <w:r>
        <w:t xml:space="preserve">Intégrité et traçabilité</w:t>
      </w:r>
    </w:p>
    <w:p>
      <w:pPr>
        <w:pStyle w:val="Corps"/>
      </w:pPr>
      <w:r>
        <w:t xml:space="preserve">Les mesures proposées pour assurer l’intégrité, la traçabilité et le contradictoire sont [Mesures d'intégrité des preuves]. Les détenteurs, formats et conditions de conservation connus sont identifiés.</w:t>
      </w:r>
    </w:p>
    <w:p>
      <w:pPr>
        <w:pStyle w:val="Intertitre"/>
      </w:pPr>
      <w:r>
        <w:t xml:space="preserve">Forme et dépôt au greffe</w:t>
      </w:r>
    </w:p>
    <w:p>
      <w:pPr>
        <w:pStyle w:val="Corps"/>
      </w:pPr>
      <w:r>
        <w:t xml:space="preserve">La demande sera déposée selon [Méthode de dépôt] et constatée selon [Dossier de dépôt]. Le mode retenu respecte les formalités applicables au greffe, à la lettre recommandée ou, pour une personne détenue, à la déclaration auprès du chef d’établissement.</w:t>
      </w:r>
    </w:p>
    <w:p>
      <w:pPr>
        <w:pStyle w:val="Intertitre"/>
      </w:pPr>
      <w:r>
        <w:t xml:space="preserve">Clause optionnelle : Présence de l’avocat aux opérations</w:t>
      </w:r>
    </w:p>
    <w:p>
      <w:pPr>
        <w:pStyle w:val="Corps"/>
      </w:pPr>
      <w:r>
        <w:t xml:space="preserve">La présence de l’avocat est sollicitée selon [Demande de présence d'avocats] pour les actes relevant du régime applicable. Les modalités d’intervention demandées sont [Conditions d'intervention des avocats].</w:t>
      </w:r>
    </w:p>
    <w:p>
      <w:pPr>
        <w:pStyle w:val="Intertitre"/>
      </w:pPr>
      <w:r>
        <w:t xml:space="preserve">Décision sollicitée et délai</w:t>
      </w:r>
    </w:p>
    <w:p>
      <w:pPr>
        <w:pStyle w:val="Corps"/>
      </w:pPr>
      <w:r>
        <w:t xml:space="preserve">Il est demandé au juge de faire droit aux actes et, s’il refuse tout ou partie, de rendre une ordonnance motivée dans le délai applicable. Les modalités souhaitées de notification sont [Procédure de notification des décisions].</w:t>
      </w:r>
    </w:p>
    <w:p>
      <w:pPr>
        <w:pStyle w:val="Intertitre"/>
      </w:pPr>
      <w:r>
        <w:t xml:space="preserve">Suivi du refus ou du silence</w:t>
      </w:r>
    </w:p>
    <w:p>
      <w:pPr>
        <w:pStyle w:val="Corps"/>
      </w:pPr>
      <w:r>
        <w:t xml:space="preserve">Le suivi prévu en cas de refus ou d’absence de décision est [Suivi du refus ou du silence]. Tout appel ou saisine du président de la chambre de l’instruction sera formé séparément après contrôle de la décision, de la notification et du délai.</w:t>
      </w:r>
    </w:p>
    <w:p>
      <w:pPr>
        <w:pStyle w:val="Intertitre"/>
      </w:pPr>
      <w:r>
        <w:t xml:space="preserve">Bordereau des pièces</w:t>
      </w:r>
    </w:p>
    <w:p>
      <w:pPr>
        <w:pStyle w:val="Corps"/>
      </w:pPr>
      <w:r>
        <w:t xml:space="preserve">Les pièces jointes sont énumérées dans [Calendrier des pièces jointes] avec leurs numéros de cote, dates, auteurs et liens avec les actes sollicités.</w:t>
      </w:r>
    </w:p>
    <w:p>
      <w:pPr>
        <w:pStyle w:val="Intertitre"/>
      </w:pPr>
      <w:r>
        <w:t xml:space="preserve">Coordonnées de notification</w:t>
      </w:r>
    </w:p>
    <w:p>
      <w:pPr>
        <w:pStyle w:val="Corps"/>
      </w:pPr>
      <w:r>
        <w:t xml:space="preserve">La décision et les convocations pourront être notifiées selon [Procédure de notification des décisions]. Toute modification des coordonnées ou de la constitution sera portée sans délai à la connaissance du greffe.</w:t>
      </w:r>
    </w:p>
    <w:p>
      <w:pPr>
        <w:pStyle w:val="Intertitre"/>
      </w:pPr>
      <w:r>
        <w:t xml:space="preserve">Date et signature</w:t>
      </w:r>
    </w:p>
    <w:p>
      <w:pPr>
        <w:pStyle w:val="Corps"/>
      </w:pPr>
      <w:r>
        <w:t xml:space="preserve">Fait à [Lieu de signature], le [Date de signature]. La demande est signée par [Signataire requérant] après vérification du mandat, de la qualité procédurale, des cotes et du bordereau.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