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PLAINTE SIMPLE AUPRÈS DU PROCUREUR DE LA RÉPUBLIQUE</w:t>
      </w:r>
    </w:p>
    <w:p>
      <w:pPr>
        <w:pStyle w:val="Intertitre"/>
      </w:pPr>
      <w:r>
        <w:t xml:space="preserve">Plaignant</w:t>
      </w:r>
    </w:p>
    <w:p>
      <w:pPr>
        <w:pStyle w:val="Corps"/>
      </w:pPr>
      <w:r>
        <w:t xml:space="preserve">La plainte est formée par [Nom partie a], domicilié à [Adresse partie a]. Sa qualité de victime ou son pouvoir pour agir résulte de [Preuve qualité partie a]. Ses coordonnées sont reproduites d'après les pièces fournies afin de permettre l'enregistrement de la plainte et les notifications ultérieures. Aucun état civil, domicile ou pouvoir n'est déduit du seul récit.</w:t>
      </w:r>
    </w:p>
    <w:p>
      <w:pPr>
        <w:pStyle w:val="Intertitre"/>
      </w:pPr>
      <w:r>
        <w:t xml:space="preserve">Personne mise en cause</w:t>
      </w:r>
    </w:p>
    <w:p>
      <w:pPr>
        <w:pStyle w:val="Corps"/>
      </w:pPr>
      <w:r>
        <w:t xml:space="preserve">La personne éventuellement mise en cause est désignée comme [Nom partie b], à l'adresse connue [Adresse partie b]. Les éléments permettant de lui attribuer une qualité ou un rôle sont [Preuve qualité partie b]. Cette présentation reste factuelle et ne préjuge ni sa participation ni sa culpabilité, qui relèvent des vérifications de l'autorité judiciaire.</w:t>
      </w:r>
    </w:p>
    <w:p>
      <w:pPr>
        <w:pStyle w:val="Intertitre"/>
      </w:pPr>
      <w:r>
        <w:t xml:space="preserve">Destinataire</w:t>
      </w:r>
    </w:p>
    <w:p>
      <w:pPr>
        <w:pStyle w:val="Corps"/>
      </w:pPr>
      <w:r>
        <w:t xml:space="preserve">La plainte est adressée à Monsieur ou Madame le procureur de la République près [Tribunal competent]. Le rattachement territorial est exposé dans [Analyse competence territoriale], au regard du lieu des faits ou du domicile connu de leur auteur. L'intitulé et l'adresse de la juridiction sont vérifiés avant l'envoi et ne sont jamais reconstitués par le système.</w:t>
      </w:r>
    </w:p>
    <w:p>
      <w:pPr>
        <w:pStyle w:val="Intertitre"/>
      </w:pPr>
      <w:r>
        <w:t xml:space="preserve">L'auteur est-il connu ou la plainte est-elle contre X ? — choisir une seule variante</w:t>
      </w:r>
    </w:p>
    <w:p>
      <w:pPr>
        <w:pStyle w:val="Variante"/>
      </w:pPr>
      <w:r>
        <w:t xml:space="preserve">Variante : Auteur inconnu</w:t>
      </w:r>
    </w:p>
    <w:p>
      <w:pPr>
        <w:pStyle w:val="Corps"/>
      </w:pPr>
      <w:r>
        <w:t xml:space="preserve">La plainte est déposée contre X. Les seuls éléments susceptibles de permettre l'identification de l'auteur sont [Indices identification auteur]. Le plaignant distingue les constatations certaines, les pseudonymes ou coordonnées techniques et les simples hypothèses; aucune identité n'est affirmée sans pièce correspondante.</w:t>
      </w:r>
    </w:p>
    <w:p>
      <w:pPr>
        <w:pStyle w:val="Variante"/>
      </w:pPr>
      <w:r>
        <w:t xml:space="preserve">Variante : Auteur désigné</w:t>
      </w:r>
    </w:p>
    <w:p>
      <w:pPr>
        <w:pStyle w:val="Corps"/>
      </w:pPr>
      <w:r>
        <w:t xml:space="preserve">La personne supposée être l'auteur est [Identite personne mise en cause]. Cette désignation repose exclusivement sur [Source identification]. Les actes personnellement attribués à cette personne sont décrits dans la chronologie, avec leur source, sans transformer l'identification alléguée en constat de culpabilité.</w:t>
      </w:r>
    </w:p>
    <w:p>
      <w:pPr>
        <w:pStyle w:val="Intertitre"/>
      </w:pPr>
      <w:r>
        <w:t xml:space="preserve">Exposé chronologique</w:t>
      </w:r>
    </w:p>
    <w:p>
      <w:pPr>
        <w:pStyle w:val="Corps"/>
      </w:pPr>
      <w:r>
        <w:t xml:space="preserve">Le plaignant expose dans [Chronologie faits plainte] les faits dans leur ordre chronologique. Pour chaque événement, il précise la date ou période, le lieu, l'acte ou les propos concernés, les personnes présentes et la source de l'information. Les faits personnellement constatés sont distingués des propos rapportés, des déductions et de la qualification pénale proposée.</w:t>
      </w:r>
    </w:p>
    <w:p>
      <w:pPr>
        <w:pStyle w:val="Intertitre"/>
      </w:pPr>
      <w:r>
        <w:t xml:space="preserve">Qualification proposée</w:t>
      </w:r>
    </w:p>
    <w:p>
      <w:pPr>
        <w:pStyle w:val="Corps"/>
      </w:pPr>
      <w:r>
        <w:t xml:space="preserve">Sous réserve de l'appréciation du procureur de la République, la qualification envisagée est [Qualification penale envisagee]. Les éléments matériels et, lorsqu'il est pertinent, intentionnels sont rapprochés des faits dans [Analyse éléments infraction]. Le courrier n'affirme pas qu'une infraction est constituée et n'écarte aucune requalification résultant de l'enquête.</w:t>
      </w:r>
    </w:p>
    <w:p>
      <w:pPr>
        <w:pStyle w:val="Intertitre"/>
      </w:pPr>
      <w:r>
        <w:t xml:space="preserve">Éléments de preuve</w:t>
      </w:r>
    </w:p>
    <w:p>
      <w:pPr>
        <w:pStyle w:val="Corps"/>
      </w:pPr>
      <w:r>
        <w:t xml:space="preserve">Les pièces et éléments disponibles sont inventoriés dans [Inventaire preuves plainte]. Leur provenance, leur date, leur lien avec les faits et leur mode de conservation sont décrits par [Protocole conservation preuves]. Les originaux, copies, captures, messages, constats, documents médicaux ou comptables sont distingués et numérotés de manière concordante avec le bordereau.</w:t>
      </w:r>
    </w:p>
    <w:p>
      <w:pPr>
        <w:pStyle w:val="Intertitre"/>
      </w:pPr>
      <w:r>
        <w:t xml:space="preserve">Clause optionnelle : Témoins</w:t>
      </w:r>
    </w:p>
    <w:p>
      <w:pPr>
        <w:pStyle w:val="Corps"/>
      </w:pPr>
      <w:r>
        <w:t xml:space="preserve">Les témoins identifiés et les faits qu'ils déclarent avoir personnellement constatés sont [Liste temoins et faits]. Le courrier distingue leurs observations directes des informations rapportées et indique les coordonnées uniquement lorsqu'elles sont connues et peuvent être communiquées à l'autorité judiciaire.</w:t>
      </w:r>
    </w:p>
    <w:p>
      <w:pPr>
        <w:pStyle w:val="Intertitre"/>
      </w:pPr>
      <w:r>
        <w:t xml:space="preserve">Préjudice</w:t>
      </w:r>
    </w:p>
    <w:p>
      <w:pPr>
        <w:pStyle w:val="Corps"/>
      </w:pPr>
      <w:r>
        <w:t xml:space="preserve">Les conséquences personnellement subies sont décrites dans [Description prejudices]. Elles sont distinguées par nature, date d'apparition et lien allégué avec les faits; leur évaluation demeure provisoire lorsqu'elle ne peut être arrêtée. Les certificats, factures, attestations ou autres supports disponibles sont recensés dans [Justificatifs prejudices].</w:t>
      </w:r>
    </w:p>
    <w:p>
      <w:pPr>
        <w:pStyle w:val="Intertitre"/>
      </w:pPr>
      <w:r>
        <w:t xml:space="preserve">Clause optionnelle : Mesures urgentes signalées</w:t>
      </w:r>
    </w:p>
    <w:p>
      <w:pPr>
        <w:pStyle w:val="Corps"/>
      </w:pPr>
      <w:r>
        <w:t xml:space="preserve">Le plaignant signale un risque actuel décrit par [Description risque actuel]. Les mesures de protection ou de conservation déjà sollicitées ou mises en œuvre sont [Mesures protection existantes]. Ce signalement expose des faits datés et vérifiables, sans prescrire au procureur une mesure déterminée ni se substituer aux numéros d'urgence lorsque le danger est immédiat.</w:t>
      </w:r>
    </w:p>
    <w:p>
      <w:pPr>
        <w:pStyle w:val="Intertitre"/>
      </w:pPr>
      <w:r>
        <w:t xml:space="preserve">Chronologie et prescription</w:t>
      </w:r>
    </w:p>
    <w:p>
      <w:pPr>
        <w:pStyle w:val="Corps"/>
      </w:pPr>
      <w:r>
        <w:t xml:space="preserve">Les dates susceptibles d'affecter la prescription sont analysées dans [Analyse prescription penale]. Cette analyse identifie la date des faits, les éventuels faits successifs, actes interruptifs ou causes de suspension documentés et le texte envisagé. Aucun délai n'est calculé automatiquement à partir d'une qualification non vérifiée, notamment lorsqu'un régime spécial peut s'appliquer.</w:t>
      </w:r>
    </w:p>
    <w:p>
      <w:pPr>
        <w:pStyle w:val="Intertitre"/>
      </w:pPr>
      <w:r>
        <w:t xml:space="preserve">Demande de suite</w:t>
      </w:r>
    </w:p>
    <w:p>
      <w:pPr>
        <w:pStyle w:val="Corps"/>
      </w:pPr>
      <w:r>
        <w:t xml:space="preserve">En conséquence, le plaignant demande l'enregistrement de sa plainte, l'examen des faits et des pièces et l'information sur la suite qui lui sera donnée. Il peut être joint aux coordonnées [Contact suivi plainte]. Cette demande laisse au procureur l'appréciation des suites prévues par la loi et ne présente ni l'ouverture d'une enquête ni des poursuites comme acquises.</w:t>
      </w:r>
    </w:p>
    <w:p>
      <w:pPr>
        <w:pStyle w:val="Intertitre"/>
      </w:pPr>
      <w:r>
        <w:t xml:space="preserve">Réserve de droits</w:t>
      </w:r>
    </w:p>
    <w:p>
      <w:pPr>
        <w:pStyle w:val="Corps"/>
      </w:pPr>
      <w:r>
        <w:t xml:space="preserve">La présente plainte est formée sans renonciation aux droits de la victime et sans préjuger de la qualification qui sera retenue. Elle ne vaut ni constitution de partie civile devant une juridiction de jugement ni demande indemnitaire définitive. Les éventuelles voies ultérieures demeurent soumises à leurs propres conditions, délais et formalités.</w:t>
      </w:r>
    </w:p>
    <w:p>
      <w:pPr>
        <w:pStyle w:val="Intertitre"/>
      </w:pPr>
      <w:r>
        <w:t xml:space="preserve">Bordereau</w:t>
      </w:r>
    </w:p>
    <w:p>
      <w:pPr>
        <w:pStyle w:val="Corps"/>
      </w:pPr>
      <w:r>
        <w:t xml:space="preserve">Les documents remis sont énumérés dans [Bordereau pièces plainte]. Chaque pièce reçoit un numéro stable repris dans le corps du courrier, une désignation, une date et l'indication du fait qu'elle soutient. Le bordereau distingue les originaux des copies et ne mentionne aucune pièce qui ne serait pas effectivement jointe ou disponible.</w:t>
      </w:r>
    </w:p>
    <w:p>
      <w:pPr>
        <w:pStyle w:val="Intertitre"/>
      </w:pPr>
      <w:r>
        <w:t xml:space="preserve">Signature</w:t>
      </w:r>
    </w:p>
    <w:p>
      <w:pPr>
        <w:pStyle w:val="Corps"/>
      </w:pPr>
      <w:r>
        <w:t xml:space="preserve">Fait à [Lieu signature], le [Date signature]. La plainte est signée par [Nom signataire], en qualité de [qualité signataire], dont le pouvoir résulte de [Preuve pouvoir signataire]. Avant envoi, le signataire vérifie que la version signée, le bordereau et les pièces correspondent au dossier conservé; la preuve d'expédition ou de dépôt est ensuite archivée avec cette version.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