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ANNULATION POUR EXCÈS DE POUVOIR</w:t>
      </w:r>
    </w:p>
    <w:p>
      <w:pPr>
        <w:pStyle w:val="Intertitre"/>
      </w:pPr>
      <w:r>
        <w:t xml:space="preserve">À quel stade materiel se trouve la requête ? — choisir une seule variante</w:t>
      </w:r>
    </w:p>
    <w:p>
      <w:pPr>
        <w:pStyle w:val="Variante"/>
      </w:pPr>
      <w:r>
        <w:t xml:space="preserve">Variante : REQUÊTE AUX FINS D'ANNULATION POUR EXCÈS DE POUVOIR</w:t>
      </w:r>
    </w:p>
    <w:p>
      <w:pPr>
        <w:pStyle w:val="Corps"/>
      </w:pPr>
      <w:r>
        <w:t xml:space="preserve">La présente requête en projet, rattachée au dossier [Référence du dossier], tendra à l'annulation de la décision administrative désignée ci-après. Les faits, moyens, conclusions et pièces peuvent encore être complétés. Aucune signature, transmission ni saisine de la juridiction n'est affirmée à ce stade.</w:t>
      </w:r>
    </w:p>
    <w:p>
      <w:pPr>
        <w:pStyle w:val="Variante"/>
      </w:pPr>
      <w:r>
        <w:t xml:space="preserve">Variante : REQUÊTE AUX FINS D'ANNULATION POUR EXCÈS DE POUVOIR</w:t>
      </w:r>
    </w:p>
    <w:p>
      <w:pPr>
        <w:pStyle w:val="Corps"/>
      </w:pPr>
      <w:r>
        <w:t xml:space="preserve">La présente requête, rattachée au dossier [Référence du dossier], est arrêtée pour signature et dépôt. Sa compétence, sa recevabilité, ses faits, ses moyens, ses conclusions et son bordereau ont été rapprochés de la décision attaquée et des pièces disponibles. Toute modification ultérieure impose un nouveau contrôle de concordance.</w:t>
      </w:r>
    </w:p>
    <w:p>
      <w:pPr>
        <w:pStyle w:val="Variante"/>
      </w:pPr>
      <w:r>
        <w:t xml:space="preserve">Variante : REQUÊTE AUX FINS D'ANNULATION POUR EXCÈS DE POUVOIR</w:t>
      </w:r>
    </w:p>
    <w:p>
      <w:pPr>
        <w:pStyle w:val="Corps"/>
      </w:pPr>
      <w:r>
        <w:t xml:space="preserve">La présente requête, rattachée au dossier [Référence du dossier], tend à l'annulation de la décision administrative désignée ci-après. La version signée transmise est identifiée par [Preuve du dépôt]. Cette preuve établit le canal, la date et les fichiers déposés sans préjuger de leur recevabilité ni de l'issue du recours.</w:t>
      </w:r>
    </w:p>
    <w:p>
      <w:pPr>
        <w:pStyle w:val="Intertitre"/>
      </w:pPr>
      <w:r>
        <w:t xml:space="preserve">À LA JURIDICTION ADMINISTRATIVE</w:t>
      </w:r>
    </w:p>
    <w:p>
      <w:pPr>
        <w:pStyle w:val="Corps"/>
      </w:pPr>
      <w:r>
        <w:t xml:space="preserve">La requête est présentée à [Juridiction administrative]. La compétence matérielle et territoriale est justifiée par [Fondement de compétence]. La dénomination et le siège de la juridiction sont contrôlés à la date du dépôt ; ils concordent avec la route de compétence développée ci-dessous.</w:t>
      </w:r>
    </w:p>
    <w:p>
      <w:pPr>
        <w:pStyle w:val="Intertitre"/>
      </w:pPr>
      <w:r>
        <w:t xml:space="preserve">Clause optionnelle : RÉFÉRENCE DE L'INSTANCE</w:t>
      </w:r>
    </w:p>
    <w:p>
      <w:pPr>
        <w:pStyle w:val="Corps"/>
      </w:pPr>
      <w:r>
        <w:t xml:space="preserve">L'instance est enregistrée sous [Numero de requête] ; cette référence est reproduite sans modification sur les actes ultérieurs. Elle n'est affichée que lorsqu'un accusé d'enregistrement ou une communication de la juridiction permet de l'établir.</w:t>
      </w:r>
    </w:p>
    <w:p>
      <w:pPr>
        <w:pStyle w:val="Intertitre"/>
      </w:pPr>
      <w:r>
        <w:t xml:space="preserve">Quelle règle de compétence territoriale est vérifiée ? — choisir une seule variante</w:t>
      </w:r>
    </w:p>
    <w:p>
      <w:pPr>
        <w:pStyle w:val="Variante"/>
      </w:pPr>
      <w:r>
        <w:t xml:space="preserve">Variante : COMPÉTENCE TERRITORIALE GÉNÉRALE</w:t>
      </w:r>
    </w:p>
    <w:p>
      <w:pPr>
        <w:pStyle w:val="Corps"/>
      </w:pPr>
      <w:r>
        <w:t xml:space="preserve">La compétence est examinée au regard de [Compétence territoriale générale], sans présumer le lieu de l'autorité ni l'absence de règle spéciale. L'analyse identifie le siège de l'autorité qui a pris la décision et vérifie qu'aucune règle spéciale ne déplace le ressort.</w:t>
      </w:r>
    </w:p>
    <w:p>
      <w:pPr>
        <w:pStyle w:val="Variante"/>
      </w:pPr>
      <w:r>
        <w:t xml:space="preserve">Variante : COMPÉTENCE SPÉCIALE</w:t>
      </w:r>
    </w:p>
    <w:p>
      <w:pPr>
        <w:pStyle w:val="Corps"/>
      </w:pPr>
      <w:r>
        <w:t xml:space="preserve">La compétence spéciale est fondée sur [Compétence spéciale] ; le texte et les faits de rattachement sont vérifiés avant dépôt. La disposition spéciale est citée dans sa version applicable et chaque critère de rattachement est relié aux faits et aux pièces.</w:t>
      </w:r>
    </w:p>
    <w:p>
      <w:pPr>
        <w:pStyle w:val="Intertitre"/>
      </w:pPr>
      <w:r>
        <w:t xml:space="preserve">Le requérant est-il une personne physique ou morale ? — choisir une seule variante</w:t>
      </w:r>
    </w:p>
    <w:p>
      <w:pPr>
        <w:pStyle w:val="Variante"/>
      </w:pPr>
      <w:r>
        <w:t xml:space="preserve">Variante : POUR LE REQUÉRANT PERSONNE PHYSIQUE</w:t>
      </w:r>
    </w:p>
    <w:p>
      <w:pPr>
        <w:pStyle w:val="Corps"/>
      </w:pPr>
      <w:r>
        <w:t xml:space="preserve">[Identite du requérant], demeurant [Adresse du requérant], agit en son nom et, le cas échéant, par [Representant du requérant]. Son identité, son domicile, sa capacité et la qualité de son représentant sont repris de justificatifs actuels ; aucune donnée manquante n'est déduite.</w:t>
      </w:r>
    </w:p>
    <w:p>
      <w:pPr>
        <w:pStyle w:val="Variante"/>
      </w:pPr>
      <w:r>
        <w:t xml:space="preserve">Variante : POUR LA PERSONNE MORALE REQUÉRANTE</w:t>
      </w:r>
    </w:p>
    <w:p>
      <w:pPr>
        <w:pStyle w:val="Corps"/>
      </w:pPr>
      <w:r>
        <w:t xml:space="preserve">[Identite de la personne morale requérante], ayant son siège [Adresse du requérant], agit par [Representant du requérant], dont le pouvoir est joint. La dénomination, la forme, l'immatriculation, le siège et l'organe habilité sont vérifiés séparément sur des documents à jour.</w:t>
      </w:r>
    </w:p>
    <w:p>
      <w:pPr>
        <w:pStyle w:val="Intertitre"/>
      </w:pPr>
      <w:r>
        <w:t xml:space="preserve">Clause optionnelle : PLURALITÉ DE REQUÉRANTS</w:t>
      </w:r>
    </w:p>
    <w:p>
      <w:pPr>
        <w:pStyle w:val="Corps"/>
      </w:pPr>
      <w:r>
        <w:t xml:space="preserve">Les identités, qualités, intérêts et pouvoirs de chaque requérant sont distingués dans [Pluralité de requérants]. Le tableau précise pour chacun la décision contestée, l'atteinte subie, le pouvoir de signer et les conclusions qui lui sont propres.</w:t>
      </w:r>
    </w:p>
    <w:p>
      <w:pPr>
        <w:pStyle w:val="Intertitre"/>
      </w:pPr>
      <w:r>
        <w:t xml:space="preserve">CONTRE L'AUTORITÉ DÉFENDERESSE</w:t>
      </w:r>
    </w:p>
    <w:p>
      <w:pPr>
        <w:pStyle w:val="Corps"/>
      </w:pPr>
      <w:r>
        <w:t xml:space="preserve">Le recours est dirigé contre [Autorité défenderesse], en qualité d'auteur ou d'autorité compétente au regard de la décision attaquée. La requête distingue l'auteur matériel, l'autorité au nom de laquelle l'acte a été pris et la personne publique appelée à défendre.</w:t>
      </w:r>
    </w:p>
    <w:p>
      <w:pPr>
        <w:pStyle w:val="Intertitre"/>
      </w:pPr>
      <w:r>
        <w:t xml:space="preserve">Quel régime de représentation est vérifié ? — choisir une seule variante</w:t>
      </w:r>
    </w:p>
    <w:p>
      <w:pPr>
        <w:pStyle w:val="Variante"/>
      </w:pPr>
      <w:r>
        <w:t xml:space="preserve">Variante : REQUÉRANT NON REPRÉSENTÉ</w:t>
      </w:r>
    </w:p>
    <w:p>
      <w:pPr>
        <w:pStyle w:val="Corps"/>
      </w:pPr>
      <w:r>
        <w:t xml:space="preserve">Le requérant signe et dépose lui-même la requête ; la dispense de ministère d'avocat est contrôlée pour les conclusions effectivement présentées. Cette route reste exclue dès qu'une conclusion ou une matière impose une représentation ; les modalités de signature et de dépôt du requérant sont alors adaptées.</w:t>
      </w:r>
    </w:p>
    <w:p>
      <w:pPr>
        <w:pStyle w:val="Variante"/>
      </w:pPr>
      <w:r>
        <w:t xml:space="preserve">Variante : REPRÉSENTATION PAR AVOCAT</w:t>
      </w:r>
    </w:p>
    <w:p>
      <w:pPr>
        <w:pStyle w:val="Corps"/>
      </w:pPr>
      <w:r>
        <w:t xml:space="preserve">Le requérant est représenté par [Avocat du requérant], qui signe la requête et assure les transmissions dans le circuit applicable. Son identité, son barreau et son mandat concordent avec la signature et le canal de dépôt ; la représentation n'est pas étendue à un autre requérant par défaut.</w:t>
      </w:r>
    </w:p>
    <w:p>
      <w:pPr>
        <w:pStyle w:val="Variante"/>
      </w:pPr>
      <w:r>
        <w:t xml:space="preserve">Variante : MINISTÈRE D'AVOCAT OBLIGATOIRE</w:t>
      </w:r>
    </w:p>
    <w:p>
      <w:pPr>
        <w:pStyle w:val="Corps"/>
      </w:pPr>
      <w:r>
        <w:t xml:space="preserve">Le caractère obligatoire de la représentation est vérifié au regard des conclusions et exceptions applicables ; [Avocat du requérant] est constitué. Le fondement de l'obligation et l'absence d'exception applicable sont mentionnés avant toute présentation de la requête comme recevable.</w:t>
      </w:r>
    </w:p>
    <w:p>
      <w:pPr>
        <w:pStyle w:val="Intertitre"/>
      </w:pPr>
      <w:r>
        <w:t xml:space="preserve">Quelle nature d'acte est attaquée ? — choisir une seule variante</w:t>
      </w:r>
    </w:p>
    <w:p>
      <w:pPr>
        <w:pStyle w:val="Variante"/>
      </w:pPr>
      <w:r>
        <w:t xml:space="preserve">Variante : DÉCISION INDIVIDUELLE EXPLICITE ATTAQUÉE</w:t>
      </w:r>
    </w:p>
    <w:p>
      <w:pPr>
        <w:pStyle w:val="Corps"/>
      </w:pPr>
      <w:r>
        <w:t xml:space="preserve">Le recours tend à l'annulation de [Référence de la décision], prise le [Date de la décision] et notifiée selon [Preuve de notification]. L'auteur, le destinataire, l'objet, le dispositif et la date de réception sont identifiés ; la copie produite concorde avec les mentions de la requête.</w:t>
      </w:r>
    </w:p>
    <w:p>
      <w:pPr>
        <w:pStyle w:val="Variante"/>
      </w:pPr>
      <w:r>
        <w:t xml:space="preserve">Variante : ACTE RÉGLEMENTAIRE ATTAQUÉ</w:t>
      </w:r>
    </w:p>
    <w:p>
      <w:pPr>
        <w:pStyle w:val="Corps"/>
      </w:pPr>
      <w:r>
        <w:t xml:space="preserve">Le recours vise [Référence de l'acte réglementaire], publié selon [Preuve de publication], dans le périmètre [Champ de l'acte réglementaire]. L'auteur, la date, le texte adopté et les dispositions précisément contestées sont identifiés. La publication produite permet de fixer le point de départ invoqué.</w:t>
      </w:r>
    </w:p>
    <w:p>
      <w:pPr>
        <w:pStyle w:val="Variante"/>
      </w:pPr>
      <w:r>
        <w:t xml:space="preserve">Variante : DÉCISION IMPLICITE ATTAQUÉE</w:t>
      </w:r>
    </w:p>
    <w:p>
      <w:pPr>
        <w:pStyle w:val="Corps"/>
      </w:pPr>
      <w:r>
        <w:t xml:space="preserve">La demande [Demande adressee à l'administration] a été déposée selon [Preuve de dépôt de la demande] ; la décision implicite est née le [Date de naissance de la décision implicite] sous le régime vérifié. La nature du silence, la durée applicable, les éventuelles demandes de pièces et la règle faisant naître le rejet sont exposées sans calcul implicite.</w:t>
      </w:r>
    </w:p>
    <w:p>
      <w:pPr>
        <w:pStyle w:val="Variante"/>
      </w:pPr>
      <w:r>
        <w:t xml:space="preserve">Variante : REFUS EXPLICITE ATTAQUÉ</w:t>
      </w:r>
    </w:p>
    <w:p>
      <w:pPr>
        <w:pStyle w:val="Corps"/>
      </w:pPr>
      <w:r>
        <w:t xml:space="preserve">Le recours vise le refus [Référence du refus], dont la notification est [Preuve de notification] et dont le périmètre est [Périmètre de l'annulation]. L'auteur, la demande refusée, les motifs et le dispositif sont reproduits fidèlement ; une mesure connexe n'est incluse que si elle est expressément contestée.</w:t>
      </w:r>
    </w:p>
    <w:p>
      <w:pPr>
        <w:pStyle w:val="Variante"/>
      </w:pPr>
      <w:r>
        <w:t xml:space="preserve">Variante : MESURE DE DROIT SOUPLE CONTESTÉE</w:t>
      </w:r>
    </w:p>
    <w:p>
      <w:pPr>
        <w:pStyle w:val="Corps"/>
      </w:pPr>
      <w:r>
        <w:t xml:space="preserve">La mesure contestée est [Mesure de droit souple]. Sa recevabilité comme acte susceptible de recours est exposée dans [Recevabilité de l'acte de droit souple]. L'analyse décrit les effets notables ou l'influence significative invoqués et les rattache à la situation propre du requérant.</w:t>
      </w:r>
    </w:p>
    <w:p>
      <w:pPr>
        <w:pStyle w:val="Intertitre"/>
      </w:pPr>
      <w:r>
        <w:t xml:space="preserve">Clause optionnelle : PRODUCTION DE L'ACTE ATTAQUÉ</w:t>
      </w:r>
    </w:p>
    <w:p>
      <w:pPr>
        <w:pStyle w:val="Corps"/>
      </w:pPr>
      <w:r>
        <w:t xml:space="preserve">La requête est accompagnée de [Copie de l'acte attaqué] ; toute impossibilité de production est expliquée et justifiée. La pièce correspond exactement à l'acte sélectionné ; pour une décision implicite, la demande préalable et sa preuve de dépôt remplacent la copie inexistante.</w:t>
      </w:r>
    </w:p>
    <w:p>
      <w:pPr>
        <w:pStyle w:val="Intertitre"/>
      </w:pPr>
      <w:r>
        <w:t xml:space="preserve">Sur quelle qualité repose l'intérêt pour agir ? — choisir une seule variante</w:t>
      </w:r>
    </w:p>
    <w:p>
      <w:pPr>
        <w:pStyle w:val="Variante"/>
      </w:pPr>
      <w:r>
        <w:t xml:space="preserve">Variante : INTÉRÊT PERSONNEL À AGIR</w:t>
      </w:r>
    </w:p>
    <w:p>
      <w:pPr>
        <w:pStyle w:val="Corps"/>
      </w:pPr>
      <w:r>
        <w:t xml:space="preserve">L'intérêt direct et suffisamment certain du requérant résulte de [Intérêt personnel à agir] et des pièces correspondantes. L'acte explique concrètement comment la décision affecte la situation du requérant, avec une atteinte actuelle ou suffisamment certaine et propre à celui-ci.</w:t>
      </w:r>
    </w:p>
    <w:p>
      <w:pPr>
        <w:pStyle w:val="Variante"/>
      </w:pPr>
      <w:r>
        <w:t xml:space="preserve">Variante : INTÉRÊT À AGIR DE L'ASSOCIATION</w:t>
      </w:r>
    </w:p>
    <w:p>
      <w:pPr>
        <w:pStyle w:val="Corps"/>
      </w:pPr>
      <w:r>
        <w:t xml:space="preserve">L'objet et le champ de l'association sont [Objet et champ de l'association] ; l'atteinte aux intérêts défendus est [Intérêt de l'association]. Les statuts, la date de constitution, le ressort et, si nécessaire, la décision d'agir sont produits pour relier l'objet collectif à l'acte contesté.</w:t>
      </w:r>
    </w:p>
    <w:p>
      <w:pPr>
        <w:pStyle w:val="Variante"/>
      </w:pPr>
      <w:r>
        <w:t xml:space="preserve">Variante : INTÉRÊT À AGIR D'UNE PERSONNE PUBLIQUE</w:t>
      </w:r>
    </w:p>
    <w:p>
      <w:pPr>
        <w:pStyle w:val="Corps"/>
      </w:pPr>
      <w:r>
        <w:t xml:space="preserve">La compétence, l'intérêt et l'autorisation d'agir sont établis par [Intérêt de la personne publique]. La délibération, décision ou règle de compétence autorisant le recours est identifiée avec son auteur, sa date et son périmètre.</w:t>
      </w:r>
    </w:p>
    <w:p>
      <w:pPr>
        <w:pStyle w:val="Variante"/>
      </w:pPr>
      <w:r>
        <w:t xml:space="preserve">Variante : AUTRE QUALITÉ POUR AGIR</w:t>
      </w:r>
    </w:p>
    <w:p>
      <w:pPr>
        <w:pStyle w:val="Corps"/>
      </w:pPr>
      <w:r>
        <w:t xml:space="preserve">La qualité et l'intérêt invoqués reposent sur [Autre qualité pour agir], après contrôle du fondement et des pièces. La requête expose la chaîne juridique donnant qualité pour agir et la rattache à l'effet concret de la décision attaquée.</w:t>
      </w:r>
    </w:p>
    <w:p>
      <w:pPr>
        <w:pStyle w:val="Intertitre"/>
      </w:pPr>
      <w:r>
        <w:t xml:space="preserve">L'annulation demandée est-elle totale ou partielle ? — choisir une seule variante</w:t>
      </w:r>
    </w:p>
    <w:p>
      <w:pPr>
        <w:pStyle w:val="Variante"/>
      </w:pPr>
      <w:r>
        <w:t xml:space="preserve">Variante : ANNULATION TOTALE SOLLICITÉE</w:t>
      </w:r>
    </w:p>
    <w:p>
      <w:pPr>
        <w:pStyle w:val="Corps"/>
      </w:pPr>
      <w:r>
        <w:t xml:space="preserve">Le périmètre de l'acte dont l'annulation totale est demandée est défini dans [Périmètre de l'annulation]. Cette branche n'est retenue que si tous les motifs et effets du dispositif sont contestés et si aucune limitation des conclusions n'est nécessaire.</w:t>
      </w:r>
    </w:p>
    <w:p>
      <w:pPr>
        <w:pStyle w:val="Variante"/>
      </w:pPr>
      <w:r>
        <w:t xml:space="preserve">Variante : ANNULATION PARTIELLE SOLLICITÉE</w:t>
      </w:r>
    </w:p>
    <w:p>
      <w:pPr>
        <w:pStyle w:val="Corps"/>
      </w:pPr>
      <w:r>
        <w:t xml:space="preserve">Les seules dispositions visées sont [Périmètre de l'annulation] ; leur divisibilité est examinée dans [Divisibilité de l'acte]. La requête reproduit les passages ou articles concernés, explique qu'ils peuvent être séparés du reste et limite chaque moyen à ce périmètre.</w:t>
      </w:r>
    </w:p>
    <w:p>
      <w:pPr>
        <w:pStyle w:val="Intertitre"/>
      </w:pPr>
      <w:r>
        <w:t xml:space="preserve">Quel recours administratif a été exerce ? — choisir une seule variante</w:t>
      </w:r>
    </w:p>
    <w:p>
      <w:pPr>
        <w:pStyle w:val="Variante"/>
      </w:pPr>
      <w:r>
        <w:t xml:space="preserve">Variante : ABSENCE DE RECOURS ADMINISTRATIF PRÉALABLE</w:t>
      </w:r>
    </w:p>
    <w:p>
      <w:pPr>
        <w:pStyle w:val="Corps"/>
      </w:pPr>
      <w:r>
        <w:t xml:space="preserve">La recevabilité est examinée sans recours gracieux, hiérarchique ou préalable obligatoire ; l'absence de RAPO est contrôlée pour la matière. Les textes sectoriels, la notification et les échanges antérieurs sont vérifiés pour confirmer qu'aucune saisine administrative préalable ne conditionne le recours.</w:t>
      </w:r>
    </w:p>
    <w:p>
      <w:pPr>
        <w:pStyle w:val="Variante"/>
      </w:pPr>
      <w:r>
        <w:t xml:space="preserve">Variante : RECOURS GRACIEUX</w:t>
      </w:r>
    </w:p>
    <w:p>
      <w:pPr>
        <w:pStyle w:val="Corps"/>
      </w:pPr>
      <w:r>
        <w:t xml:space="preserve">Le recours gracieux [Référence du recours administratif] a été présenté le [Date du recours administratif] selon [Preuve du recours administratif] et a donné lieu à [Suite du recours administratif]. L'analyse précise son effet sur le délai, la date de réception par l'autorité compétente et la décision explicite ou implicite qui en résulte.</w:t>
      </w:r>
    </w:p>
    <w:p>
      <w:pPr>
        <w:pStyle w:val="Variante"/>
      </w:pPr>
      <w:r>
        <w:t xml:space="preserve">Variante : RECOURS HIÉRARCHIQUE</w:t>
      </w:r>
    </w:p>
    <w:p>
      <w:pPr>
        <w:pStyle w:val="Corps"/>
      </w:pPr>
      <w:r>
        <w:t xml:space="preserve">Le recours hiérarchique [Référence du recours administratif] a été présenté le [Date du recours administratif] selon [Preuve du recours administratif] et a donné lieu à [Suite du recours administratif]. La compétence de l'autorité supérieure, la date de réception et l'effet sur le délai contentieux sont démontrés par les pièces.</w:t>
      </w:r>
    </w:p>
    <w:p>
      <w:pPr>
        <w:pStyle w:val="Variante"/>
      </w:pPr>
      <w:r>
        <w:t xml:space="preserve">Variante : RECOURS ADMINISTRATIF PRÉALABLE OBLIGATOIRE</w:t>
      </w:r>
    </w:p>
    <w:p>
      <w:pPr>
        <w:pStyle w:val="Corps"/>
      </w:pPr>
      <w:r>
        <w:t xml:space="preserve">Le RAPO est imposé par [Fondement du RAPO] ; sa présentation et sa suite sont [Référence du recours administratif], [Date du recours administratif], [Preuve du recours administratif] et [Suite du recours administratif]. La requête vérifie le destinataire, le contenu, le délai et la décision issue du RAPO ; elle identifie la décision qui se substitue à l'acte initial lorsqu'il y a lieu.</w:t>
      </w:r>
    </w:p>
    <w:p>
      <w:pPr>
        <w:pStyle w:val="Intertitre"/>
      </w:pPr>
      <w:r>
        <w:t xml:space="preserve">Quelle branche fonde la recevabilité temporelle ? — choisir une seule variante</w:t>
      </w:r>
    </w:p>
    <w:p>
      <w:pPr>
        <w:pStyle w:val="Variante"/>
      </w:pPr>
      <w:r>
        <w:t xml:space="preserve">Variante : DÉLAI À COMPTER DE LA NOTIFICATION OU PUBLICATION</w:t>
      </w:r>
    </w:p>
    <w:p>
      <w:pPr>
        <w:pStyle w:val="Corps"/>
      </w:pPr>
      <w:r>
        <w:t xml:space="preserve">La recevabilité temporelle repose sur [Délai direct], avec contrôle du point de départ, de la computation et de la date de saisine. Le calcul présente la date de notification ou publication, le délai applicable, les prorogations utiles et la date exacte du dépôt, sans valeur supposée.</w:t>
      </w:r>
    </w:p>
    <w:p>
      <w:pPr>
        <w:pStyle w:val="Variante"/>
      </w:pPr>
      <w:r>
        <w:t xml:space="preserve">Variante : DÉLAI APRÈS RECOURS ADMINISTRATIF</w:t>
      </w:r>
    </w:p>
    <w:p>
      <w:pPr>
        <w:pStyle w:val="Corps"/>
      </w:pPr>
      <w:r>
        <w:t xml:space="preserve">L'effet du recours administratif et le nouveau point de départ sont analysés dans [Délai après recours administratif]. Sont distingués l'interruption éventuelle, la naissance du rejet, la notification de la réponse et la nouvelle échéance contentieuse.</w:t>
      </w:r>
    </w:p>
    <w:p>
      <w:pPr>
        <w:pStyle w:val="Variante"/>
      </w:pPr>
      <w:r>
        <w:t xml:space="preserve">Variante : DÉLAI CONTRE UNE DÉCISION IMPLICITE</w:t>
      </w:r>
    </w:p>
    <w:p>
      <w:pPr>
        <w:pStyle w:val="Corps"/>
      </w:pPr>
      <w:r>
        <w:t xml:space="preserve">La date de naissance, la preuve de dépôt et la computation du délai figurent dans [Délai contre la décision implicite]. La chronologie indique la réception de la demande, le délai de silence applicable, la naissance du rejet et la date limite invoquée.</w:t>
      </w:r>
    </w:p>
    <w:p>
      <w:pPr>
        <w:pStyle w:val="Variante"/>
      </w:pPr>
      <w:r>
        <w:t xml:space="preserve">Variante : VOIES ET DÉLAIS NON OPPOSABLES INVOQUÉS</w:t>
      </w:r>
    </w:p>
    <w:p>
      <w:pPr>
        <w:pStyle w:val="Corps"/>
      </w:pPr>
      <w:r>
        <w:t xml:space="preserve">Le contenu de la notification et l'incidence de l'absence ou de l'insuffisance des mentions sont établis dans [Voies et délais de recours]. La requête reproduit les mentions défaillantes et traite séparément les règles de délai raisonnable ou le régime spécial éventuellement applicable.</w:t>
      </w:r>
    </w:p>
    <w:p>
      <w:pPr>
        <w:pStyle w:val="Variante"/>
      </w:pPr>
      <w:r>
        <w:t xml:space="preserve">Variante : DÉLAI SPÉCIAL VÉRIFIÉ</w:t>
      </w:r>
    </w:p>
    <w:p>
      <w:pPr>
        <w:pStyle w:val="Corps"/>
      </w:pPr>
      <w:r>
        <w:t xml:space="preserve">Le texte spécial, son champ, son point de départ et sa computation sont exposés dans [Délai spécial]. Les dates d'ouverture et de clôture sont calculées dans le texte à partir de données vérifiées, avec indication de toute prorogation ou formalité particulière.</w:t>
      </w:r>
    </w:p>
    <w:p>
      <w:pPr>
        <w:pStyle w:val="Intertitre"/>
      </w:pPr>
      <w:r>
        <w:t xml:space="preserve">SYNTHÈSE DE RECEVABILITÉ</w:t>
      </w:r>
    </w:p>
    <w:p>
      <w:pPr>
        <w:pStyle w:val="Corps"/>
      </w:pPr>
      <w:r>
        <w:t xml:space="preserve">La recevabilité résulte de [Synthèse de recevabilité]. Cette synthèse identifie la nature décisoire de l'acte, l'intérêt donnant qualité pour agir, le point de départ et la computation du délai, l'existence éventuelle d'un recours préalable ainsi que les règles de représentation. Elle distingue les faits établis des qualifications encore discutées et renvoie aux pièces qui justifient chaque condition.</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La requête et les pièces sont transmises par l'application imposée aux avocats et personnes concernées ; la preuve du dépôt est [Preuve du dépôt]. L'inventaire, l'horodatage, le numéro d'enregistrement et la version signée sont conservés ensemble ; chaque pièce porte le même numéro que le bordereau.</w:t>
      </w:r>
    </w:p>
    <w:p>
      <w:pPr>
        <w:pStyle w:val="Variante"/>
      </w:pPr>
      <w:r>
        <w:t xml:space="preserve">Variante : DÉPÔT PAR TÉLÉRECOURS CITOYENS</w:t>
      </w:r>
    </w:p>
    <w:p>
      <w:pPr>
        <w:pStyle w:val="Corps"/>
      </w:pPr>
      <w:r>
        <w:t xml:space="preserve">Le requérant non représenté utilise le téléservice autorisé ; la preuve du dépôt et l'inventaire des fichiers sont [Preuve du dépôt]. Le requérant conserve le récépissé, l'inventaire et l'horodatage. Une personne non éligible au téléservice ne peut emprunter cette route.</w:t>
      </w:r>
    </w:p>
    <w:p>
      <w:pPr>
        <w:pStyle w:val="Variante"/>
      </w:pPr>
      <w:r>
        <w:t xml:space="preserve">Variante : DÉPÔT PAPIER AUTORISÉ</w:t>
      </w:r>
    </w:p>
    <w:p>
      <w:pPr>
        <w:pStyle w:val="Corps"/>
      </w:pPr>
      <w:r>
        <w:t xml:space="preserve">La possibilité d'un dépôt papier est vérifiée pour le requérant et la procédure ; la preuve du dépôt est [Preuve du dépôt]. Le nombre d'exemplaires, le mode d'envoi ou de remise, la date de réception et la liste des annexes sont justifiés par un récépissé ou un suivi.</w:t>
      </w:r>
    </w:p>
    <w:p>
      <w:pPr>
        <w:pStyle w:val="Intertitre"/>
      </w:pPr>
      <w:r>
        <w:t xml:space="preserve">EXPOSÉ DES FAITS</w:t>
      </w:r>
    </w:p>
    <w:p>
      <w:pPr>
        <w:pStyle w:val="Corps"/>
      </w:pPr>
      <w:r>
        <w:t xml:space="preserve">Les faits utiles sont présentés chronologiquement dans [Chronologie des faits]. L'exposé mentionne les démarches du requérant, les échanges avec l'administration, les événements ayant conduit à la décision et leurs dates vérifiées. Chaque affirmation déterminante est rattachée à une pièce numérotée ; les circonstances sans incidence sur la solution du litige sont écartées afin de conserver un récit précis et intelligible.</w:t>
      </w:r>
    </w:p>
    <w:p>
      <w:pPr>
        <w:pStyle w:val="Intertitre"/>
      </w:pPr>
      <w:r>
        <w:t xml:space="preserve">PROCÉDURE ADMINISTRATIVE PRÉALABLE</w:t>
      </w:r>
    </w:p>
    <w:p>
      <w:pPr>
        <w:pStyle w:val="Corps"/>
      </w:pPr>
      <w:r>
        <w:t xml:space="preserve">La procédure administrative ayant précédé l'acte attaqué est retracée dans [Procédure administrative]. Sont distingués les demandes, consultations, observations, avis, mises en demeure et décisions intervenus. Pour chaque étape sont précisés son auteur, sa date, son objet et sa preuve, afin de permettre au juge d'apprécier le respect des garanties procédurales effectivement applicables.</w:t>
      </w:r>
    </w:p>
    <w:p>
      <w:pPr>
        <w:pStyle w:val="Intertitre"/>
      </w:pPr>
      <w:r>
        <w:t xml:space="preserve">MOTIFS DE LA DÉCISION</w:t>
      </w:r>
    </w:p>
    <w:p>
      <w:pPr>
        <w:pStyle w:val="Corps"/>
      </w:pPr>
      <w:r>
        <w:t xml:space="preserve">Les motifs de droit et de fait retenus par l'administration sont reproduits fidèlement et analysés dans [Motifs de la décision]. Cette présentation distingue la base juridique invoquée, les faits tenus pour établis et le raisonnement reliant ces éléments au dispositif. Elle évite d'attribuer à l'administration un motif absent de la décision et permet de confronter séparément chaque motif aux moyens développés.</w:t>
      </w:r>
    </w:p>
    <w:p>
      <w:pPr>
        <w:pStyle w:val="Intertitre"/>
      </w:pPr>
      <w:r>
        <w:t xml:space="preserve">ARTICULATION DES FAITS, MOYENS ET PIÈCES</w:t>
      </w:r>
    </w:p>
    <w:p>
      <w:pPr>
        <w:pStyle w:val="Corps"/>
      </w:pPr>
      <w:r>
        <w:t xml:space="preserve">La matrice [Matrice moyens-pièces] met en correspondance chaque fait allégué, chaque motif contesté, chaque moyen et chaque conclusion avec les pièces numérotées pertinentes. Elle signale les faits contestés, les preuves contraires et les éléments dont la portée est discutée. Cette articulation permet de vérifier que le dispositif demandé demeure soutenu par les moyens effectivement exposés.</w:t>
      </w:r>
    </w:p>
    <w:p>
      <w:pPr>
        <w:pStyle w:val="Intertitre"/>
      </w:pPr>
      <w:r>
        <w:t xml:space="preserve">Clause optionnelle : INCOMPÉTENCE DE L'AUTEUR</w:t>
      </w:r>
    </w:p>
    <w:p>
      <w:pPr>
        <w:pStyle w:val="Corps"/>
      </w:pPr>
      <w:r>
        <w:t xml:space="preserve">La décision est entachée d'incompétence dans les conditions exposées par [Moyen d'incompétence]. Le moyen identifie l'autorité légalement compétente, la qualité exacte du signataire, l'existence et la publication de la délégation invoquée ainsi que son champ matériel, territorial et temporel. Il confronte ensuite ces éléments à la décision attaquée et aux pièces produites. L'irrégularité ne résulte pas d'une simple incertitude : elle tient à l'absence ou à l'insuffisance du titre permettant à l'auteur d'adopter cette mesure. Il est en conséquence demandé au juge d'écarter toute délégation étrangère au dossier et de prononcer l'annulation dans le périmètre correspondant.</w:t>
      </w:r>
    </w:p>
    <w:p>
      <w:pPr>
        <w:pStyle w:val="Intertitre"/>
      </w:pPr>
      <w:r>
        <w:t xml:space="preserve">Clause optionnelle : SIGNATURE ET QUALITÉ DE L'AUTEUR</w:t>
      </w:r>
    </w:p>
    <w:p>
      <w:pPr>
        <w:pStyle w:val="Corps"/>
      </w:pPr>
      <w:r>
        <w:t xml:space="preserve">La régularité de la signature et de l'identification de l'auteur est contestée pour les motifs détaillés dans [Moyen relatif à la signature]. Le moyen distingue l'absence de signature, l'impossibilité d'identifier le signataire, l'insuffisance des mentions relatives à son nom ou à sa qualité et la discordance entre l'auteur apparent et l'autorité compétente. Il rapproche chaque anomalie de l'original ou de la copie certifiée de la décision. Lorsque l'administration invoque une signature électronique ou une délégation, leur existence et leur portée doivent ressortir des pièces. Cette irrégularité affecte l'authentification même de l'acte et justifie son annulation selon la portée démontrée.</w:t>
      </w:r>
    </w:p>
    <w:p>
      <w:pPr>
        <w:pStyle w:val="Intertitre"/>
      </w:pPr>
      <w:r>
        <w:t xml:space="preserve">Clause optionnelle : INSUFFISANCE OU ABSENCE DE MOTIVATION</w:t>
      </w:r>
    </w:p>
    <w:p>
      <w:pPr>
        <w:pStyle w:val="Corps"/>
      </w:pPr>
      <w:r>
        <w:t xml:space="preserve">La décision ne satisfait pas à l'obligation de motivation dans les conditions exposées par [Moyen relatif à la motivation]. Le moyen identifie le texte qui impose une motivation, puis distingue les considérations de droit des circonstances de fait propres au requérant. Il montre précisément quelles raisons sont absentes, stéréotypées, contradictoires ou sans rapport avec les éléments soumis à l'administration. Une motivation complétée après coup ne remplace pas les motifs portés à la connaissance du destinataire lors de l'édiction ou de la notification. Cette insuffisance a empêché le requérant de comprendre utilement la mesure et conduit à demander l'annulation de la décision attaquée.</w:t>
      </w:r>
    </w:p>
    <w:p>
      <w:pPr>
        <w:pStyle w:val="Intertitre"/>
      </w:pPr>
      <w:r>
        <w:t xml:space="preserve">Clause optionnelle : MÉCONNAISSANCE DU CONTRADICTOIRE</w:t>
      </w:r>
    </w:p>
    <w:p>
      <w:pPr>
        <w:pStyle w:val="Corps"/>
      </w:pPr>
      <w:r>
        <w:t xml:space="preserve">La décision a été prise au terme d'une procédure contradictoire irrégulière, ainsi qu'il ressort de [Moyen relatif au contradictoire]. Le moyen précise la garantie applicable, la date et le contenu de l'information adressée au requérant, le délai réellement laissé pour répondre et le sort réservé à ses observations. Il distingue l'absence totale de contradictoire d'un contradictoire seulement apparent ou conduit sur un dossier incomplet. Les pièces établissent les observations qui auraient pu être présentées ou utilement développées. Cette privation a affecté la défense du requérant et l'instruction administrative ; elle justifie l'annulation dans les limites du vice démontré.</w:t>
      </w:r>
    </w:p>
    <w:p>
      <w:pPr>
        <w:pStyle w:val="Intertitre"/>
      </w:pPr>
      <w:r>
        <w:t xml:space="preserve">Clause optionnelle : IRRÉGULARITÉ D'UNE CONSULTATION</w:t>
      </w:r>
    </w:p>
    <w:p>
      <w:pPr>
        <w:pStyle w:val="Corps"/>
      </w:pPr>
      <w:r>
        <w:t xml:space="preserve">La consultation exigée avant l'édiction de la décision n'a pas été régulièrement accomplie, selon [Moyen relatif aux consultations]. Le moyen identifie l'organisme ou la personne qui devait être consulté, la nature de son intervention, les règles de composition et de quorum, les documents qui devaient lui être transmis et le moment auquel l'avis devait intervenir. Il compare ces exigences aux procès-verbaux, avis et pièces effectivement produits. L'irrégularité invoquée ne porte donc pas sur une formalité abstraite mais sur une étape déterminée du processus décisionnel. Son influence ou la garantie dont le requérant a été privé est ensuite appréciée dans les conclusions du moyen.</w:t>
      </w:r>
    </w:p>
    <w:p>
      <w:pPr>
        <w:pStyle w:val="Intertitre"/>
      </w:pPr>
      <w:r>
        <w:t xml:space="preserve">Clause optionnelle : IRRÉGULARITÉ DE LA PARTICIPATION DU PUBLIC</w:t>
      </w:r>
    </w:p>
    <w:p>
      <w:pPr>
        <w:pStyle w:val="Corps"/>
      </w:pPr>
      <w:r>
        <w:t xml:space="preserve">La procédure de participation du public applicable à la décision a été méconnue dans les conditions décrites par [Moyen relatif à la participation du public]. Le moyen précise le fondement de cette participation, son périmètre, les modalités de publicité, la durée de mise à disposition, les documents accessibles et la manière dont les observations devaient être recueillies et prises en considération. Il confronte ces exigences aux avis, registres et publications versés au dossier. Les insuffisances alléguées sont reliées à leur incidence sur l'information et l'expression du public. Cette irrégularité a altéré la procédure d'élaboration de l'acte et soutient la demande d'annulation formulée.</w:t>
      </w:r>
    </w:p>
    <w:p>
      <w:pPr>
        <w:pStyle w:val="Intertitre"/>
      </w:pPr>
      <w:r>
        <w:t xml:space="preserve">Clause optionnelle : AUTRE VICE DE FORME OU DE PROCÉDURE</w:t>
      </w:r>
    </w:p>
    <w:p>
      <w:pPr>
        <w:pStyle w:val="Corps"/>
      </w:pPr>
      <w:r>
        <w:t xml:space="preserve">Le vice de forme ou de procédure distinct est exposé de manière complète dans [Autre moyen de légalité externe]. Le moyen identifie la règle précise applicable, la formalité attendue, l'étape à laquelle elle devait intervenir et les pièces établissant son omission ou son accomplissement irrégulier. Il explique ensuite pourquoi cette exigence n'est ni étrangère au litige ni purement accessoire. Lorsque l'annulation dépend de l'influence du vice sur la décision ou de la privation d'une garantie, cette incidence est démontrée à partir des circonstances du dossier. Le requérant en déduit la portée exacte du moyen sur tout ou partie de la décision attaquée.</w:t>
      </w:r>
    </w:p>
    <w:p>
      <w:pPr>
        <w:pStyle w:val="Intertitre"/>
      </w:pPr>
      <w:r>
        <w:t xml:space="preserve">Clause optionnelle : INCIDENCE DU VICE DE PROCÉDURE</w:t>
      </w:r>
    </w:p>
    <w:p>
      <w:pPr>
        <w:pStyle w:val="Corps"/>
      </w:pPr>
      <w:r>
        <w:t xml:space="preserve">L'influence sur le sens de la décision ou la privation d'une garantie est analysée dans [Incidence du vice de procédure]. L'analyse relie le vice identifié soit à une influence possible sur le sens de la décision, soit à une garantie concrètement retirée au requérant.</w:t>
      </w:r>
    </w:p>
    <w:p>
      <w:pPr>
        <w:pStyle w:val="Intertitre"/>
      </w:pPr>
      <w:r>
        <w:t xml:space="preserve">Clause optionnelle : ERREUR DE DROIT</w:t>
      </w:r>
    </w:p>
    <w:p>
      <w:pPr>
        <w:pStyle w:val="Corps"/>
      </w:pPr>
      <w:r>
        <w:t xml:space="preserve">La décision repose sur une erreur de droit exposée dans [Erreur de droit]. Le moyen identifie la norme effectivement appliquée par l'administration, sa version à la date de la décision, son champ d'application et la règle qui aurait dû gouverner la situation. Il montre si l'erreur tient à un texte inapplicable, à une condition ajoutée ou omise, à une interprétation contraire à la norme ou à la méconnaissance d'une règle supérieure. Les faits utiles sont ensuite qualifiés au regard de la règle correcte. Cette erreur a déterminé les motifs ou le dispositif de la décision et commande son annulation dans le périmètre demandé.</w:t>
      </w:r>
    </w:p>
    <w:p>
      <w:pPr>
        <w:pStyle w:val="Intertitre"/>
      </w:pPr>
      <w:r>
        <w:t xml:space="preserve">Clause optionnelle : INEXACTITUDE MATÉRIELLE DES FAITS</w:t>
      </w:r>
    </w:p>
    <w:p>
      <w:pPr>
        <w:pStyle w:val="Corps"/>
      </w:pPr>
      <w:r>
        <w:t xml:space="preserve">La décision retient des faits matériellement inexacts, comme l'établit [Inexactitude matérielle]. Le moyen isole chaque fait déterminant mentionné par l'administration et le confronte aux documents contemporains, échanges, attestations ou données objectives numérotés au bordereau. Il distingue l'absence de preuve, la dénaturation d'une pièce et la contradiction directe entre le motif et les éléments du dossier. L'inexactitude invoquée porte sur un élément ayant effectivement soutenu la décision, non sur une circonstance secondaire. Une fois le fait rectifié, le motif correspondant ne peut plus légalement justifier la mesure, ce qui fonde la conclusion d'annulation formulée.</w:t>
      </w:r>
    </w:p>
    <w:p>
      <w:pPr>
        <w:pStyle w:val="Intertitre"/>
      </w:pPr>
      <w:r>
        <w:t xml:space="preserve">Clause optionnelle : ERREUR DE QUALIFICATION JURIDIQUE</w:t>
      </w:r>
    </w:p>
    <w:p>
      <w:pPr>
        <w:pStyle w:val="Corps"/>
      </w:pPr>
      <w:r>
        <w:t xml:space="preserve">Les faits établis ont reçu une qualification juridique erronée dans les conditions exposées par [Qualification juridique des faits]. Le moyen rappelle les critères de la qualification retenue, identifie les faits dont la matérialité n'est pas discutée et montre pourquoi ils ne satisfont pas ces critères ou relèvent d'une autre catégorie juridique. Il ne confond pas cette critique avec une simple contestation factuelle. L'analyse confronte successivement chaque condition de la règle aux pièces correspondantes et expose la conséquence juridique de l'écart constaté. La qualification erronée ayant servi de support au dispositif, le requérant demande l'annulation de la décision dans la mesure où elle en dépend.</w:t>
      </w:r>
    </w:p>
    <w:p>
      <w:pPr>
        <w:pStyle w:val="Intertitre"/>
      </w:pPr>
      <w:r>
        <w:t xml:space="preserve">Clause optionnelle : ERREUR MANIFESTE D'APPRÉCIATION</w:t>
      </w:r>
    </w:p>
    <w:p>
      <w:pPr>
        <w:pStyle w:val="Corps"/>
      </w:pPr>
      <w:r>
        <w:t xml:space="preserve">L'administration a porté sur la situation une appréciation manifestement erronée, selon la démonstration figurant dans [Erreur manifeste d'appréciation]. Le moyen expose les éléments qu'elle devait prendre en compte, ceux qu'elle a retenus et les circonstances déterminantes qu'elle a omises ou dénaturées. Il met en évidence, pièces à l'appui, l'écart manifeste entre les faits établis et la conclusion administrative, sans substituer une préférence abstraite à l'appréciation de l'autorité. La gravité de cet écart est appréciée au regard de l'objet de la mesure et de ses effets concrets. Cette erreur manifeste justifie l'annulation du dispositif contesté.</w:t>
      </w:r>
    </w:p>
    <w:p>
      <w:pPr>
        <w:pStyle w:val="Intertitre"/>
      </w:pPr>
      <w:r>
        <w:t xml:space="preserve">Clause optionnelle : CONTRÔLE DE PROPORTIONNALITÉ</w:t>
      </w:r>
    </w:p>
    <w:p>
      <w:pPr>
        <w:pStyle w:val="Corps"/>
      </w:pPr>
      <w:r>
        <w:t xml:space="preserve">La mesure porte une atteinte disproportionnée aux droits et intérêts en présence, ainsi que le démontre [Proportionnalité]. Le moyen identifie le but légitime poursuivi, vérifie l'aptitude de la mesure à l'atteindre, recherche si une mesure moins contraignante était possible et met enfin en balance ses avantages avec ses conséquences concrètes pour le requérant. Chaque circonstance personnelle ou objective invoquée est reliée à une pièce. L'analyse tient compte de l'intensité, de la durée et de l'étendue de l'atteinte. Le déséquilibre ainsi établi prive la décision de justification suffisante et soutient la demande d'annulation.</w:t>
      </w:r>
    </w:p>
    <w:p>
      <w:pPr>
        <w:pStyle w:val="Intertitre"/>
      </w:pPr>
      <w:r>
        <w:t xml:space="preserve">Clause optionnelle : DÉTOURNEMENT DE POUVOIR</w:t>
      </w:r>
    </w:p>
    <w:p>
      <w:pPr>
        <w:pStyle w:val="Corps"/>
      </w:pPr>
      <w:r>
        <w:t xml:space="preserve">La décision a été adoptée dans un but étranger à celui pour lequel le pouvoir a été conféré, conformément aux éléments réunis dans [Détournement de pouvoir]. Le moyen identifie la finalité légale de la compétence exercée puis rassemble les indices précis, concordants et vérifiables révélant le but réellement poursuivi. Il distingue ces indices d'une simple suspicion ou d'un désaccord sur l'opportunité de la mesure. La chronologie, les déclarations, le traitement comparé de situations analogues et les pièces internes ou publiques disponibles sont rapprochés du dispositif. Le détournement ainsi démontré affecte l'exercice même du pouvoir et justifie l'annulation sollicitée.</w:t>
      </w:r>
    </w:p>
    <w:p>
      <w:pPr>
        <w:pStyle w:val="Intertitre"/>
      </w:pPr>
      <w:r>
        <w:t xml:space="preserve">Clause optionnelle : MÉCONNAISSANCE DU PRINCIPE D'ÉGALITÉ</w:t>
      </w:r>
    </w:p>
    <w:p>
      <w:pPr>
        <w:pStyle w:val="Corps"/>
      </w:pPr>
      <w:r>
        <w:t xml:space="preserve">La décision méconnaît le principe d'égalité dans les conditions exposées par [Principe d'égalité]. Le moyen identifie les personnes ou situations comparées, vérifie qu'elles sont placées dans une situation analogue au regard de l'objet de la règle et décrit la différence de traitement litigieuse. Il examine ensuite l'existence d'une différence objective de situation ou d'un motif d'intérêt général en rapport direct avec l'objet de la mesure. Les comparaisons reposent sur des éléments vérifiables et non sur des affirmations générales. Faute de justification pertinente et proportionnée, la différence de traitement est illégale et fonde l'annulation demandée.</w:t>
      </w:r>
    </w:p>
    <w:p>
      <w:pPr>
        <w:pStyle w:val="Intertitre"/>
      </w:pPr>
      <w:r>
        <w:t xml:space="preserve">Clause optionnelle : MÉCONNAISSANCE D'UNE NORME SUPÉRIEURE</w:t>
      </w:r>
    </w:p>
    <w:p>
      <w:pPr>
        <w:pStyle w:val="Corps"/>
      </w:pPr>
      <w:r>
        <w:t xml:space="preserve">La décision méconnaît une norme supérieure selon l'analyse développée dans [Norme supérieure]. Le moyen identifie précisément la norme invoquée, son applicabilité au litige, sa portée et la règle administrative ou l'interprétation qui lui est opposée. Il expose ensuite les faits du dossier qui placent le requérant dans son champ de protection et confronte le contenu de la décision à l'exigence supérieure. Lorsque plusieurs normes sont invoquées, chacune fait l'objet d'un raisonnement distinct. L'incompatibilité démontrée affecte le fondement ou les effets de l'acte attaqué et conduit à en demander l'annulation dans le périmètre correspondant.</w:t>
      </w:r>
    </w:p>
    <w:p>
      <w:pPr>
        <w:pStyle w:val="Intertitre"/>
      </w:pPr>
      <w:r>
        <w:t xml:space="preserve">Clause optionnelle : AUTRE MOYEN DE LÉGALITÉ INTERNE</w:t>
      </w:r>
    </w:p>
    <w:p>
      <w:pPr>
        <w:pStyle w:val="Corps"/>
      </w:pPr>
      <w:r>
        <w:t xml:space="preserve">Le moyen de légalité interne distinct est développé dans [Autre moyen de légalité interne]. Il précise son fondement, les conditions juridiques applicables, les motifs de la décision auxquels il répond et les faits établis par les pièces. Le raisonnement distingue clairement la règle, son application au dossier et la conséquence demandée au juge. Il ne se borne ni à une référence générale à la loi ni à la reprise d'une contestation factuelle déjà exposée. L'incidence du moyen sur le dispositif est enfin identifiée, notamment lorsqu'il ne concerne qu'une partie divisible de la décision. Cette démonstration soutient la conclusion d'annulation correspondante.</w:t>
      </w:r>
    </w:p>
    <w:p>
      <w:pPr>
        <w:pStyle w:val="Intertitre"/>
      </w:pPr>
      <w:r>
        <w:t xml:space="preserve">PAR CES MOTIFS</w:t>
      </w:r>
    </w:p>
    <w:p>
      <w:pPr>
        <w:pStyle w:val="Corps"/>
      </w:pPr>
      <w:r>
        <w:t xml:space="preserve">Par ces motifs, et au vu des faits, moyens et pièces développés dans la présente requête, il est demandé à la juridiction de statuer sur les seules conclusions ci-après. Le dispositif respecte le périmètre exact de la décision attaquée, distingue annulation totale et partielle et sépare les demandes accessoires de la conclusion principale.</w:t>
      </w:r>
    </w:p>
    <w:p>
      <w:pPr>
        <w:pStyle w:val="Intertitre"/>
      </w:pPr>
      <w:r>
        <w:t xml:space="preserve">Clause optionnelle : ANNULER TOTALEMENT L'ACTE</w:t>
      </w:r>
    </w:p>
    <w:p>
      <w:pPr>
        <w:pStyle w:val="Corps"/>
      </w:pPr>
      <w:r>
        <w:t xml:space="preserve">Il est demandé d'annuler l'acte dans les termes exactement formulés par [Conclusions d'annulation totale]. Le chef désigne l'acte, son auteur et sa date et ne formule aucune annulation d'une mesure distincte non développée dans les moyens.</w:t>
      </w:r>
    </w:p>
    <w:p>
      <w:pPr>
        <w:pStyle w:val="Intertitre"/>
      </w:pPr>
      <w:r>
        <w:t xml:space="preserve">Clause optionnelle : ANNULER PARTIELLEMENT L'ACTE</w:t>
      </w:r>
    </w:p>
    <w:p>
      <w:pPr>
        <w:pStyle w:val="Corps"/>
      </w:pPr>
      <w:r>
        <w:t xml:space="preserve">Il est demandé d'annuler les seules dispositions divisibles formulées dans [Conclusions d'annulation partielle]. Le chef reprend littéralement les dispositions divisibles visées et laisse subsister le surplus de l'acte sans contradiction avec les motifs.</w:t>
      </w:r>
    </w:p>
    <w:p>
      <w:pPr>
        <w:pStyle w:val="Intertitre"/>
      </w:pPr>
      <w:r>
        <w:t xml:space="preserve">Quelle conclusion à fin d'injonction est demandée ? — choisir une seule variante</w:t>
      </w:r>
    </w:p>
    <w:p>
      <w:pPr>
        <w:pStyle w:val="Variante"/>
      </w:pPr>
      <w:r>
        <w:t xml:space="preserve">Variante : ABSENCE DE CONCLUSIONS À FIN D'INJONCTION</w:t>
      </w:r>
    </w:p>
    <w:p>
      <w:pPr>
        <w:pStyle w:val="Corps"/>
      </w:pPr>
      <w:r>
        <w:t xml:space="preserve">Aucune injonction distincte n'est demandée ; les conclusions sont limitées à l'annulation et aux accessoires sélectionnés. Aucune mesure d'exécution n'est suggérée dans les motifs ou les accessoires lorsque cette branche est sélectionnée.</w:t>
      </w:r>
    </w:p>
    <w:p>
      <w:pPr>
        <w:pStyle w:val="Variante"/>
      </w:pPr>
      <w:r>
        <w:t xml:space="preserve">Variante : ENJOINDRE UN RÉEXAMEN</w:t>
      </w:r>
    </w:p>
    <w:p>
      <w:pPr>
        <w:pStyle w:val="Corps"/>
      </w:pPr>
      <w:r>
        <w:t xml:space="preserve">Il est demandé d'enjoindre à l'autorité de réexaminer la situation selon [Injonction de réexamen]. Le chef précise l'autorité tenue, le délai demandé et la situation à réexaminer, sans prédéterminer le résultat de la nouvelle instruction.</w:t>
      </w:r>
    </w:p>
    <w:p>
      <w:pPr>
        <w:pStyle w:val="Variante"/>
      </w:pPr>
      <w:r>
        <w:t xml:space="preserve">Variante : ENJOINDRE UNE MESURE DÉTERMINÉE</w:t>
      </w:r>
    </w:p>
    <w:p>
      <w:pPr>
        <w:pStyle w:val="Corps"/>
      </w:pPr>
      <w:r>
        <w:t xml:space="preserve">Il est demandé de prescrire la mesure nécessaire décrite dans [Injonction de prendre une mesure]. La mesure, son destinataire, son délai et les conditions qui la rendent nécessairement impliquée par l'annulation sont formulés de façon exécutable.</w:t>
      </w:r>
    </w:p>
    <w:p>
      <w:pPr>
        <w:pStyle w:val="Intertitre"/>
      </w:pPr>
      <w:r>
        <w:t xml:space="preserve">Clause optionnelle : ASSORTIR L'INJONCTION D'UNE ASTREINTE</w:t>
      </w:r>
    </w:p>
    <w:p>
      <w:pPr>
        <w:pStyle w:val="Corps"/>
      </w:pPr>
      <w:r>
        <w:t xml:space="preserve">L'astreinte sollicitée est définie dans [Astreinte demandée] et rattachée à l'injonction expressément demandée. Le montant, la périodicité, la date d'effet et l'injonction garantie sont indiqués séparément afin d'éviter toute astreinte autonome ou indéterminée.</w:t>
      </w:r>
    </w:p>
    <w:p>
      <w:pPr>
        <w:pStyle w:val="Intertitre"/>
      </w:pPr>
      <w:r>
        <w:t xml:space="preserve">Clause optionnelle : FRAIS EXPOSÉS ET NON COMPRIS DANS LES DÉPENS</w:t>
      </w:r>
    </w:p>
    <w:p>
      <w:pPr>
        <w:pStyle w:val="Corps"/>
      </w:pPr>
      <w:r>
        <w:t xml:space="preserve">La demande au titre des frais est formulée dans [Frais demandes] avec les justificatifs disponibles. Le bénéficiaire, la somme et les éléments d'équité invoqués sont précisés ; cette demande demeure distincte des dépens et de l'annulation.</w:t>
      </w:r>
    </w:p>
    <w:p>
      <w:pPr>
        <w:pStyle w:val="Intertitre"/>
      </w:pPr>
      <w:r>
        <w:t xml:space="preserve">Clause optionnelle : PROCÉDURE DE SUSPENSION DISTINCTE</w:t>
      </w:r>
    </w:p>
    <w:p>
      <w:pPr>
        <w:pStyle w:val="Corps"/>
      </w:pPr>
      <w:r>
        <w:t xml:space="preserve">L'éventuelle procédure de suspension est identifiée par [Refere-suspension distinct] ; elle demeure distincte de la présente requête au fond. Son numéro, sa date et son objet concordent avec l'acte attaqué, mais aucune suspension n'est demandée dans le dispositif du présent recours au fond.</w:t>
      </w:r>
    </w:p>
    <w:p>
      <w:pPr>
        <w:pStyle w:val="Intertitre"/>
      </w:pPr>
      <w:r>
        <w:t xml:space="preserve">PIÈCES CITÉES</w:t>
      </w:r>
    </w:p>
    <w:p>
      <w:pPr>
        <w:pStyle w:val="Corps"/>
      </w:pPr>
      <w:r>
        <w:t xml:space="preserve">Les pièces effectivement citées dans les faits et moyens sont recensées dans [Pièces citées]. Chaque citation reprend le numéro du bordereau et permet d'identifier sans ambiguïté le document invoqué, sa date et la proposition qu'il soutient. Une pièce non produite n'est pas présentée comme acquise au débat.</w:t>
      </w:r>
    </w:p>
    <w:p>
      <w:pPr>
        <w:pStyle w:val="Intertitre"/>
      </w:pPr>
      <w:r>
        <w:t xml:space="preserve">Clause optionnelle : ACTE ATTAQUÉ OU PREUVE DE LA DEMANDE</w:t>
      </w:r>
    </w:p>
    <w:p>
      <w:pPr>
        <w:pStyle w:val="Corps"/>
      </w:pPr>
      <w:r>
        <w:t xml:space="preserve">La pièce principale est [Copie de l'acte attaqué] et correspond à la branche de décision effectivement sélectionnée. La référence, la date et le numéro de pièce concordent avec la branche de décision, sa notification ou la preuve de la demande préalable.</w:t>
      </w:r>
    </w:p>
    <w:p>
      <w:pPr>
        <w:pStyle w:val="Intertitre"/>
      </w:pPr>
      <w:r>
        <w:t xml:space="preserve">BORDEREAU DE PIÈCES</w:t>
      </w:r>
    </w:p>
    <w:p>
      <w:pPr>
        <w:pStyle w:val="Corps"/>
      </w:pPr>
      <w:r>
        <w:t xml:space="preserve">Le bordereau [Bordereau de pièces] classe les pièces dans leur ordre de citation et indique pour chacune son numéro, son intitulé exact, sa date, son auteur et son utilité. La décision attaquée et sa notification ou publication y sont identifiées séparément. La numérotation est identique dans le bordereau, le corps de la requête et les fichiers transmis.</w:t>
      </w:r>
    </w:p>
    <w:p>
      <w:pPr>
        <w:pStyle w:val="Intertitre"/>
      </w:pPr>
      <w:r>
        <w:t xml:space="preserve">Signature correspondant au stade materiel — choisir une seule variante</w:t>
      </w:r>
    </w:p>
    <w:p>
      <w:pPr>
        <w:pStyle w:val="Variante"/>
      </w:pPr>
      <w:r>
        <w:t xml:space="preserve">Variante : SIGNATURE DU REQUÉRANT OU DE SON CONSEIL</w:t>
      </w:r>
    </w:p>
    <w:p>
      <w:pPr>
        <w:pStyle w:val="Corps"/>
      </w:pPr>
      <w:r>
        <w:t xml:space="preserve">Pour le requérant : [Signataire de la requête]. La signature est apposée dans l'emplacement ci-dessous sur la version définitive de la requête et vaut adoption de ses faits, moyens, conclusions et bordereau de pièces.</w:t>
      </w:r>
    </w:p>
    <w:p>
      <w:pPr>
        <w:pStyle w:val="Variante"/>
      </w:pPr>
      <w:r>
        <w:t xml:space="preserve">Variante : REQUÊTE SIGNÉE POUR DÉPÔT</w:t>
      </w:r>
    </w:p>
    <w:p>
      <w:pPr>
        <w:pStyle w:val="Corps"/>
      </w:pPr>
      <w:r>
        <w:t xml:space="preserve">La requête est datée du [Date de signature] et signée par [Signataire de la requête] dans la qualité vérifiée. La date, l'identité et la qualité du signataire sont vérifiées ; aucun dépôt ni numéro d'instance n'est présenté comme acquis.</w:t>
      </w:r>
    </w:p>
    <w:p>
      <w:pPr>
        <w:pStyle w:val="Variante"/>
      </w:pPr>
      <w:r>
        <w:t xml:space="preserve">Variante : VERSION SIGNÉE DÉPOSÉE</w:t>
      </w:r>
    </w:p>
    <w:p>
      <w:pPr>
        <w:pStyle w:val="Corps"/>
      </w:pPr>
      <w:r>
        <w:t xml:space="preserve">La version signée le [Date de signature] par [Signataire de la requête] est identique à celle transmise selon [Preuve du dépôt]. L'empreinte ou l'identification des fichiers, la date de transmission et l'accusé de réception permettent de rattacher la signature à la version effectivement déposée.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