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RECOURS GRACIEUX PRÉALABLE</w:t>
      </w:r>
    </w:p>
    <w:p>
      <w:pPr>
        <w:pStyle w:val="Intertitre"/>
      </w:pPr>
      <w:r>
        <w:t xml:space="preserve">Autorité destinataire</w:t>
      </w:r>
    </w:p>
    <w:p>
      <w:pPr>
        <w:pStyle w:val="Corps"/>
      </w:pPr>
      <w:r>
        <w:t xml:space="preserve">Le recours est présenté par [Nom du demandeur], représenté le cas échéant par [Représentant du demandeur], à [Autorité administrative], à l'adresse [Adresse de l'autorité]. L'autorité est celle qui a pris la décision ou qui dispose du pouvoir de la retirer, l'abroger ou la modifier ; sa compétence n'est pas déduite de la seule adresse figurant sur un échange.</w:t>
      </w:r>
    </w:p>
    <w:p>
      <w:pPr>
        <w:pStyle w:val="Intertitre"/>
      </w:pPr>
      <w:r>
        <w:t xml:space="preserve">Référence du dossier</w:t>
      </w:r>
    </w:p>
    <w:p>
      <w:pPr>
        <w:pStyle w:val="Corps"/>
      </w:pPr>
      <w:r>
        <w:t xml:space="preserve">Le recours concerne le dossier [Référence interne du dossier]. Cette référence est reprise sur chaque pièce et concorde avec la décision, la demande initiale et les accusés de réception. Tout dossier parallèle ou décision distincte est séparé afin d'éviter une contestation au périmètre ambigu.</w:t>
      </w:r>
    </w:p>
    <w:p>
      <w:pPr>
        <w:pStyle w:val="Intertitre"/>
      </w:pPr>
      <w:r>
        <w:t xml:space="preserve">Nature de la décision — choisir une seule variante</w:t>
      </w:r>
    </w:p>
    <w:p>
      <w:pPr>
        <w:pStyle w:val="Variante"/>
      </w:pPr>
      <w:r>
        <w:t xml:space="preserve">Variante : Décision explicite</w:t>
      </w:r>
    </w:p>
    <w:p>
      <w:pPr>
        <w:pStyle w:val="Corps"/>
      </w:pPr>
      <w:r>
        <w:t xml:space="preserve">Le recours conteste la décision [Référence de la décision contestée], prise le [Date de la décision] et notifiée le [Date de notification]. La preuve [Preuve de la notification] établit le texte reçu, sa date et les voies et délais mentionnés. Le calcul du délai est conservé sans supposer qu'une notification irrégulière produit un effet déterminé.</w:t>
      </w:r>
    </w:p>
    <w:p>
      <w:pPr>
        <w:pStyle w:val="Variante"/>
      </w:pPr>
      <w:r>
        <w:t xml:space="preserve">Variante : Décision implicite</w:t>
      </w:r>
    </w:p>
    <w:p>
      <w:pPr>
        <w:pStyle w:val="Corps"/>
      </w:pPr>
      <w:r>
        <w:t xml:space="preserve">Le recours conteste la décision implicite née le [Date de la décision implicite] après la demande [Référence de la demande initiale], reçue le [Date de réception]. Le dossier conserve le contenu de la demande et sa réception. Lorsque les motifs d'un rejet implicite doivent être demandés, cette démarche et son effet éventuel sur le délai sont traités séparément.</w:t>
      </w:r>
    </w:p>
    <w:p>
      <w:pPr>
        <w:pStyle w:val="Intertitre"/>
      </w:pPr>
      <w:r>
        <w:t xml:space="preserve">Chronologie</w:t>
      </w:r>
    </w:p>
    <w:p>
      <w:pPr>
        <w:pStyle w:val="Corps"/>
      </w:pPr>
      <w:r>
        <w:t xml:space="preserve">La chronologie [Chronologie factuelle] expose les faits dans leur ordre, avec les dates, auteurs et décisions utiles. Le tableau [Calendrier des preuves] relie chaque affirmation à une pièce numérotée. Les incertitudes, absences de réponse et événements défavorables ne sont ni omis ni transformés en faits établis.</w:t>
      </w:r>
    </w:p>
    <w:p>
      <w:pPr>
        <w:pStyle w:val="Intertitre"/>
      </w:pPr>
      <w:r>
        <w:t xml:space="preserve">Échanges antérieurs</w:t>
      </w:r>
    </w:p>
    <w:p>
      <w:pPr>
        <w:pStyle w:val="Corps"/>
      </w:pPr>
      <w:r>
        <w:t xml:space="preserve">Les demandes, accusés, relances et réponses antérieurs sont [Correspondance administrative]. Chaque échange est qualifié selon son auteur et son objet, sans le présenter automatiquement comme une décision. Les contradictions entre courriers, portail et décision finale sont signalées et expliquées.</w:t>
      </w:r>
    </w:p>
    <w:p>
      <w:pPr>
        <w:pStyle w:val="Intertitre"/>
      </w:pPr>
      <w:r>
        <w:t xml:space="preserve">Recevabilité et délai</w:t>
      </w:r>
    </w:p>
    <w:p>
      <w:pPr>
        <w:pStyle w:val="Corps"/>
      </w:pPr>
      <w:r>
        <w:t xml:space="preserve">La recevabilité est analysée dans [Analyse de la recevabilité] au regard de la décision, du demandeur, de l'autorité, du délai et des éventuelles procédures spéciales. Les effets attendus sont [Effets procéduraux]. Le recours n'est jamais présenté comme suspensif par principe et l'interruption d'un délai contentieux n'est retenue qu'après vérification de ses conditions.</w:t>
      </w:r>
    </w:p>
    <w:p>
      <w:pPr>
        <w:pStyle w:val="Corps"/>
      </w:pPr>
      <w:r>
        <w:t xml:space="preserve">Le dossier vérifie en particulier si un recours administratif préalable obligatoire, une médiation, une réclamation fiscale, sociale ou contractuelle, ou un délai spécial exclut la voie générale. Il distingue aussi le recours gracieux adressé à l'auteur de la décision du recours hiérarchique adressé à son supérieur.</w:t>
      </w:r>
    </w:p>
    <w:p>
      <w:pPr>
        <w:pStyle w:val="Intertitre"/>
      </w:pPr>
      <w:r>
        <w:t xml:space="preserve">Moyens de légalité</w:t>
      </w:r>
    </w:p>
    <w:p>
      <w:pPr>
        <w:pStyle w:val="Corps"/>
      </w:pPr>
      <w:r>
        <w:t xml:space="preserve">Les moyens [Motifs de licéité] sont classés par compétence, procédure, forme, base légale, faits, qualification et proportionnalité selon le dossier. Ils répondent à [Analyse de la position de l'autorité] sans formule générique. Chaque moyen énonce le fait contesté, la règle invoquée, la pièce et la conséquence demandée.</w:t>
      </w:r>
    </w:p>
    <w:p>
      <w:pPr>
        <w:pStyle w:val="Corps"/>
      </w:pPr>
      <w:r>
        <w:t xml:space="preserve">Les moyens ne sont pas classés selon leur apparence mais selon la décision réellement attaquée. Le recours explique pour chacun ce que l'administration aurait dû vérifier, ce que les pièces établissent et quelle correction relève encore de son pouvoir, sans transformer un désaccord d'opportunité en illégalité fictive.</w:t>
      </w:r>
    </w:p>
    <w:p>
      <w:pPr>
        <w:pStyle w:val="Intertitre"/>
      </w:pPr>
      <w:r>
        <w:t xml:space="preserve">Clause optionnelle : Éléments nouveaux</w:t>
      </w:r>
    </w:p>
    <w:p>
      <w:pPr>
        <w:pStyle w:val="Corps"/>
      </w:pPr>
      <w:r>
        <w:t xml:space="preserve">Les faits ou pièces nouveaux sont [Nouveau calendrier des preuves], issus de [Nouvelles sources de données]. Leur incidence possible est [Effet nouveau de la preuve]. Le recours précise leur date, leur authenticité et la raison pour laquelle ils n'ont pas été pris en compte, sans les présenter comme décisifs avant l'examen de l'autorité.</w:t>
      </w:r>
    </w:p>
    <w:p>
      <w:pPr>
        <w:pStyle w:val="Intertitre"/>
      </w:pPr>
      <w:r>
        <w:t xml:space="preserve">Éléments d'appréciation</w:t>
      </w:r>
    </w:p>
    <w:p>
      <w:pPr>
        <w:pStyle w:val="Corps"/>
      </w:pPr>
      <w:r>
        <w:t xml:space="preserve">Les considérations d'équité ou de bonne administration sont [Facteurs équitables ou pratiques] et la mise en balance sollicitée est [Équilibre demandé]. Elles sont distinguées des moyens de légalité et restent dans le champ du pouvoir effectivement détenu par l'autorité saisie.</w:t>
      </w:r>
    </w:p>
    <w:p>
      <w:pPr>
        <w:pStyle w:val="Intertitre"/>
      </w:pPr>
      <w:r>
        <w:t xml:space="preserve">Clause optionnelle : Demande de mesure d'attente</w:t>
      </w:r>
    </w:p>
    <w:p>
      <w:pPr>
        <w:pStyle w:val="Corps"/>
      </w:pPr>
      <w:r>
        <w:t xml:space="preserve">Dans l'attente de la réponse, il est demandé à l'administration de différer volontairement [Mesure d'exécution] pour [Motifs de suspension], sous [Garanties en matière de suspension]. Cette demande ne prétend pas suspendre juridiquement la décision par le seul dépôt du recours et réserve toute voie d'urgence distincte.</w:t>
      </w:r>
    </w:p>
    <w:p>
      <w:pPr>
        <w:pStyle w:val="Intertitre"/>
      </w:pPr>
      <w:r>
        <w:t xml:space="preserve">Demande principale</w:t>
      </w:r>
    </w:p>
    <w:p>
      <w:pPr>
        <w:pStyle w:val="Corps"/>
      </w:pPr>
      <w:r>
        <w:t xml:space="preserve">Le requérant sollicite [Résultat demandé]. La demande précise si elle tend au retrait, à l'abrogation, à la modification, au réexamen ou à une nouvelle décision, dans la limite des pouvoirs de l'autorité. Une réponse motivée est demandée sur chacun des moyens déterminants.</w:t>
      </w:r>
    </w:p>
    <w:p>
      <w:pPr>
        <w:pStyle w:val="Intertitre"/>
      </w:pPr>
      <w:r>
        <w:t xml:space="preserve">Demande subsidiaire</w:t>
      </w:r>
    </w:p>
    <w:p>
      <w:pPr>
        <w:pStyle w:val="Corps"/>
      </w:pPr>
      <w:r>
        <w:t xml:space="preserve">À titre subsidiaire, il est demandé [Autres résultats]. Cette issue est formulée de façon compatible avec la demande principale et avec les pouvoirs de l'administration. Elle n'emporte aucune renonciation au moyen principal ni acceptation des motifs de la décision contestée.</w:t>
      </w:r>
    </w:p>
    <w:p>
      <w:pPr>
        <w:pStyle w:val="Intertitre"/>
      </w:pPr>
      <w:r>
        <w:t xml:space="preserve">Modalités de réponse</w:t>
      </w:r>
    </w:p>
    <w:p>
      <w:pPr>
        <w:pStyle w:val="Corps"/>
      </w:pPr>
      <w:r>
        <w:t xml:space="preserve">La décision sur recours peut être notifiée à [Personne-ressource pour la réponse] avant la date souhaitée [Date de réponse demandée]. Cette date constitue une demande de traitement et non un délai légal inventé. La réponse attendue identifie l'autorité, la décision initiale, chaque demande et les nouvelles voies de recours.</w:t>
      </w:r>
    </w:p>
    <w:p>
      <w:pPr>
        <w:pStyle w:val="Corps"/>
      </w:pPr>
      <w:r>
        <w:t xml:space="preserve">En l'absence de réponse, le dossier identifie le régime du silence propre à la demande et la date à laquelle une décision implicite pourrait naître. Il ne suppose ni rejet, ni acceptation, ni prorogation sans avoir contrôlé les exceptions et la procédure applicable.</w:t>
      </w:r>
    </w:p>
    <w:p>
      <w:pPr>
        <w:pStyle w:val="Intertitre"/>
      </w:pPr>
      <w:r>
        <w:t xml:space="preserve">Dépôt et preuve</w:t>
      </w:r>
    </w:p>
    <w:p>
      <w:pPr>
        <w:pStyle w:val="Corps"/>
      </w:pPr>
      <w:r>
        <w:t xml:space="preserve">Le dépôt est établi par [Récépissé de dépôt]. La preuve conserve la date, le destinataire, le canal, le texte complet et les pièces transmises. En cas de portail, le fichier déposé et l'accusé sont archivés ensemble ; une simple capture d'écran sans contenu identifiable est insuffisante.</w:t>
      </w:r>
    </w:p>
    <w:p>
      <w:pPr>
        <w:pStyle w:val="Corps"/>
      </w:pPr>
      <w:r>
        <w:t xml:space="preserve">Lorsque plusieurs autorités ou services sont en copie, une seule autorité est identifiée comme destinataire de la demande décisionnelle. Les copies d'information ne sont pas comptées comme saisines et tout accusé automatique est distingué d'un accusé attestant le contenu effectivement reçu.</w:t>
      </w:r>
    </w:p>
    <w:p>
      <w:pPr>
        <w:pStyle w:val="Intertitre"/>
      </w:pPr>
      <w:r>
        <w:t xml:space="preserve">Pièces jointes</w:t>
      </w:r>
    </w:p>
    <w:p>
      <w:pPr>
        <w:pStyle w:val="Corps"/>
      </w:pPr>
      <w:r>
        <w:t xml:space="preserve">Le bordereau [Calendrier des pièces jointes] numérote la décision, sa notification, la demande initiale, les échanges, les justificatifs et le mandat éventuel. Chaque renvoi du recours correspond à une pièce effectivement jointe. Une pièce annoncée mais absente est expressément signalée dans le bordereau.</w:t>
      </w:r>
    </w:p>
    <w:p>
      <w:pPr>
        <w:pStyle w:val="Intertitre"/>
      </w:pPr>
      <w:r>
        <w:t xml:space="preserve">Réserve des voies de droit</w:t>
      </w:r>
    </w:p>
    <w:p>
      <w:pPr>
        <w:pStyle w:val="Corps"/>
      </w:pPr>
      <w:r>
        <w:t xml:space="preserve">Le recours est formé sans renonciation aux voies contentieuses ou administratives encore ouvertes. Leurs délais, conditions et effets sont contrôlés indépendamment. Le courrier ne reconnaît ni la régularité de la notification, ni la compétence d'une juridiction, ni un effet suspensif qui n'aurait pas été établi.</w:t>
      </w:r>
    </w:p>
    <w:p>
      <w:pPr>
        <w:pStyle w:val="Intertitre"/>
      </w:pPr>
      <w:r>
        <w:t xml:space="preserve">Signature</w:t>
      </w:r>
    </w:p>
    <w:p>
      <w:pPr>
        <w:pStyle w:val="Corps"/>
      </w:pPr>
      <w:r>
        <w:t xml:space="preserve">Fait à [Lieu de signature], le [Date de signature]. Le recours est signé par [Signataire du demandeur] après vérification de son identité, de son mandat et de la version annexée. L'exemplaire conservé est identique à celui déposé et porte le bordereau définitif.</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