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RÉFÉRÉ CONTRACTUEL EN MATIÈRE DE MARCHÉS PUBLICS</w:t>
      </w:r>
    </w:p>
    <w:p>
      <w:pPr>
        <w:pStyle w:val="Intertitre"/>
      </w:pPr>
      <w:r>
        <w:t xml:space="preserve">À quel stade matériel se trouve la requête ? — choisir une seule variante</w:t>
      </w:r>
    </w:p>
    <w:p>
      <w:pPr>
        <w:pStyle w:val="Variante"/>
      </w:pPr>
      <w:r>
        <w:t xml:space="preserve">Variante : PROJET DE REQUÊTE EN RÉFÉRÉ CONTRACTUEL</w:t>
      </w:r>
    </w:p>
    <w:p>
      <w:pPr>
        <w:pStyle w:val="Corps"/>
      </w:pPr>
      <w:r>
        <w:t xml:space="preserve">La présente requête en référé contractuel est préparée pour le dossier [Référence du dossier]. À ce stade, elle expose les éléments disponibles sur la conclusion du contrat, la recevabilité du recours, les manquements invoqués et les sanctions sollicitées, sans valoir dépôt ni préjuger de l'appréciation du juge.</w:t>
      </w:r>
    </w:p>
    <w:p>
      <w:pPr>
        <w:pStyle w:val="Variante"/>
      </w:pPr>
      <w:r>
        <w:t xml:space="preserve">Variante : REQUÊTE EN RÉFÉRÉ CONTRACTUEL PRÊTE AU DÉPÔT</w:t>
      </w:r>
    </w:p>
    <w:p>
      <w:pPr>
        <w:pStyle w:val="Corps"/>
      </w:pPr>
      <w:r>
        <w:t xml:space="preserve">La présente requête en référé contractuel, rattachée au dossier [Référence du dossier], est arrêtée dans sa version destinée au dépôt. Sa recevabilité, la concordance des faits avec les pièces, l'articulation des manquements et des sanctions ainsi que la cohérence du dispositif ont été examinées avant signature.</w:t>
      </w:r>
    </w:p>
    <w:p>
      <w:pPr>
        <w:pStyle w:val="Variante"/>
      </w:pPr>
      <w:r>
        <w:t xml:space="preserve">Variante : REQUÊTE EN RÉFÉRÉ CONTRACTUEL DÉPOSÉE</w:t>
      </w:r>
    </w:p>
    <w:p>
      <w:pPr>
        <w:pStyle w:val="Corps"/>
      </w:pPr>
      <w:r>
        <w:t xml:space="preserve">La requête en référé contractuel du dossier [Référence du dossier] a été transmise à la juridiction selon les éléments consignés dans [Preuve du dépôt]. Elle porte sur le contrat conclu dont la teneur et les annexes pertinentes ressortent de [Copie du contrat conclu] ; les développements qui suivent correspondent à la version effectivement déposée.</w:t>
      </w:r>
    </w:p>
    <w:p>
      <w:pPr>
        <w:pStyle w:val="Variante"/>
      </w:pPr>
      <w:r>
        <w:t xml:space="preserve">Variante : RÉFÉRÉ CONTRACTUEL EN ATTENTE D'AUDIENCE</w:t>
      </w:r>
    </w:p>
    <w:p>
      <w:pPr>
        <w:pStyle w:val="Corps"/>
      </w:pPr>
      <w:r>
        <w:t xml:space="preserve">La requête en référé contractuel du dossier [Référence du dossier] est appelée à l'audience dans les conditions retracées par [Préparation de l'audience]. Les parties demeurent invitées à répondre sur la recevabilité, les manquements, la mesure provisoire éventuelle, la sanction appropriée et les conséquences déjà produites par l'exécution du contrat.</w:t>
      </w:r>
    </w:p>
    <w:p>
      <w:pPr>
        <w:pStyle w:val="Variante"/>
      </w:pPr>
      <w:r>
        <w:t xml:space="preserve">Variante : ORDONNANCE RENDUE EN RÉFÉRÉ CONTRACTUEL</w:t>
      </w:r>
    </w:p>
    <w:p>
      <w:pPr>
        <w:pStyle w:val="Corps"/>
      </w:pPr>
      <w:r>
        <w:t xml:space="preserve">L'ordonnance rendue dans le cadre du référé contractuel est identifiée par [Ordonnance reçue]. Sa portée est examinée au regard de chaque chef du dispositif, des effets maintenus ou supprimés du contrat, des obligations imposées aux parties et des voies de recours effectivement ouvertes.</w:t>
      </w:r>
    </w:p>
    <w:p>
      <w:pPr>
        <w:pStyle w:val="Intertitre"/>
      </w:pPr>
      <w:r>
        <w:t xml:space="preserve">À MONSIEUR OU MADAME LE PRÉSIDENT DU TRIBUNAL ADMINISTRATIF</w:t>
      </w:r>
    </w:p>
    <w:p>
      <w:pPr>
        <w:pStyle w:val="Corps"/>
      </w:pPr>
      <w:r>
        <w:t xml:space="preserve">À Monsieur ou Madame le président du tribunal administratif de [Tribunal administratif compétent], ou au magistrat délégué. La compétence de la juridiction résulte de [Fondement territorial de compétence] au regard de la consultation référencée [Référence de la consultation] et du contrat administratif désormais conclu.</w:t>
      </w:r>
    </w:p>
    <w:p>
      <w:pPr>
        <w:pStyle w:val="Intertitre"/>
      </w:pPr>
      <w:r>
        <w:t xml:space="preserve">Clause optionnelle : QUALIFICATION ADMINISTRATIVE DU CONTRAT</w:t>
      </w:r>
    </w:p>
    <w:p>
      <w:pPr>
        <w:pStyle w:val="Corps"/>
      </w:pPr>
      <w:r>
        <w:t xml:space="preserve">Le contrat litigieux relève de la compétence de la juridiction administrative pour les motifs exposés dans [Qualification administrative du contrat]. Son objet, l'identité de l'acheteur, la contrepartie économique et le régime de passation ont été rapprochés de [Champ matériel du référé contractuel], de sorte que le recours est présenté dans le champ du référé contractuel.</w:t>
      </w:r>
    </w:p>
    <w:p>
      <w:pPr>
        <w:pStyle w:val="Intertitre"/>
      </w:pPr>
      <w:r>
        <w:t xml:space="preserve">Quelle est la qualité de l'acheteur ? — choisir une seule variante</w:t>
      </w:r>
    </w:p>
    <w:p>
      <w:pPr>
        <w:pStyle w:val="Variante"/>
      </w:pPr>
      <w:r>
        <w:t xml:space="preserve">Variante : CONTRAT PASSÉ PAR UN POUVOIR ADJUDICATEUR</w:t>
      </w:r>
    </w:p>
    <w:p>
      <w:pPr>
        <w:pStyle w:val="Corps"/>
      </w:pPr>
      <w:r>
        <w:t xml:space="preserve">La procédure de passation a été conduite par [Identité de l'acheteur ou de l'entité adjudicatrice], en qualité de pouvoir adjudicateur. Cette personne est représentée par [Représentant de l'acheteur], dont la qualité et l'habilitation ressortent des pièces produites ; les obligations de publicité et de mise en concurrence sont appréciées selon ce statut.</w:t>
      </w:r>
    </w:p>
    <w:p>
      <w:pPr>
        <w:pStyle w:val="Variante"/>
      </w:pPr>
      <w:r>
        <w:t xml:space="preserve">Variante : CONTRAT PASSÉ PAR UNE ENTITÉ ADJUDICATRICE</w:t>
      </w:r>
    </w:p>
    <w:p>
      <w:pPr>
        <w:pStyle w:val="Corps"/>
      </w:pPr>
      <w:r>
        <w:t xml:space="preserve">[Identité de l'acheteur ou de l'entité adjudicatrice] intervient comme entité adjudicatrice dans la passation du contrat litigieux. Son représentant, [Représentant de l'acheteur], dispose de la qualité et des pouvoirs établis par les actes produits ; le champ du recours comme les obligations invoquées sont appréciés selon le régime propre à cette catégorie d'acheteur.</w:t>
      </w:r>
    </w:p>
    <w:p>
      <w:pPr>
        <w:pStyle w:val="Intertitre"/>
      </w:pPr>
      <w:r>
        <w:t xml:space="preserve">Le contrat relève-t-il de la défense ou de la sécurité ? — choisir une seule variante</w:t>
      </w:r>
    </w:p>
    <w:p>
      <w:pPr>
        <w:pStyle w:val="Variante"/>
      </w:pPr>
      <w:r>
        <w:t xml:space="preserve">Variante : CONTRAT HORS DÉFENSE OU SÉCURITÉ</w:t>
      </w:r>
    </w:p>
    <w:p>
      <w:pPr>
        <w:pStyle w:val="Corps"/>
      </w:pPr>
      <w:r>
        <w:t xml:space="preserve">Le contrat référencé [Référence de la consultation] ne relève pas, au vu des pièces de passation, du régime particulier applicable aux marchés de défense ou de sécurité. La recevabilité du recours et les pouvoirs du juge sont donc exposés selon les règles ordinaires du référé contractuel.</w:t>
      </w:r>
    </w:p>
    <w:p>
      <w:pPr>
        <w:pStyle w:val="Variante"/>
      </w:pPr>
      <w:r>
        <w:t xml:space="preserve">Variante : MARCHÉ DE DÉFENSE OU DE SÉCURITÉ</w:t>
      </w:r>
    </w:p>
    <w:p>
      <w:pPr>
        <w:pStyle w:val="Corps"/>
      </w:pPr>
      <w:r>
        <w:t xml:space="preserve">Le contrat référencé [Référence de la consultation] est qualifié, pièces à l'appui, de marché de défense ou de sécurité. Les moyens et les demandes sont en conséquence limités aux obligations de passation et aux pouvoirs juridictionnels compatibles avec ce régime particulier, sans transposer les mesures propres aux autres contrats.</w:t>
      </w:r>
    </w:p>
    <w:p>
      <w:pPr>
        <w:pStyle w:val="Intertitre"/>
      </w:pPr>
      <w:r>
        <w:t xml:space="preserve">Quelle est la nature du requérant ? — choisir une seule variante</w:t>
      </w:r>
    </w:p>
    <w:p>
      <w:pPr>
        <w:pStyle w:val="Variante"/>
      </w:pPr>
      <w:r>
        <w:t xml:space="preserve">Variante : REQUÉRANT — PERSONNE PHYSIQUE</w:t>
      </w:r>
    </w:p>
    <w:p>
      <w:pPr>
        <w:pStyle w:val="Corps"/>
      </w:pPr>
      <w:r>
        <w:t xml:space="preserve">Le requérant est [Identité du requérant], personne physique domiciliée à [Adresse ou siège du requérant]. Son identité, son adresse et sa qualité pour agir concordent avec les pièces de la candidature ou avec les circonstances ayant empêché sa participation à la procédure de passation.</w:t>
      </w:r>
    </w:p>
    <w:p>
      <w:pPr>
        <w:pStyle w:val="Variante"/>
      </w:pPr>
      <w:r>
        <w:t xml:space="preserve">Variante : REQUÉRANT — PERSONNE MORALE</w:t>
      </w:r>
    </w:p>
    <w:p>
      <w:pPr>
        <w:pStyle w:val="Corps"/>
      </w:pPr>
      <w:r>
        <w:t xml:space="preserve">Le requérant est [Identité du requérant], personne morale ayant son siège à [Adresse ou siège du requérant]. Il agit par [Représentant du requérant], dont la qualité, le pouvoir de représentation et, le cas échéant, l'habilitation à engager la procédure sont établis par les pièces communiquées.</w:t>
      </w:r>
    </w:p>
    <w:p>
      <w:pPr>
        <w:pStyle w:val="Variante"/>
      </w:pPr>
      <w:r>
        <w:t xml:space="preserve">Variante : REQUÉRANT — PERSONNE PUBLIQUE</w:t>
      </w:r>
    </w:p>
    <w:p>
      <w:pPr>
        <w:pStyle w:val="Corps"/>
      </w:pPr>
      <w:r>
        <w:t xml:space="preserve">Le requérant est [Identité du requérant], personne publique agissant par [Représentant du requérant]. La qualité de ce représentant, son habilitation et le lien entre le contrat contesté et les compétences de la personne publique sont établis par les actes joints à la requête.</w:t>
      </w:r>
    </w:p>
    <w:p>
      <w:pPr>
        <w:pStyle w:val="Intertitre"/>
      </w:pPr>
      <w:r>
        <w:t xml:space="preserve">Clause optionnelle : PLURALITÉ DE REQUÉRANTS</w:t>
      </w:r>
    </w:p>
    <w:p>
      <w:pPr>
        <w:pStyle w:val="Corps"/>
      </w:pPr>
      <w:r>
        <w:t xml:space="preserve">Plusieurs requérants présentent conjointement le recours. Le tableau [Pluralité de requérants] individualise pour chacun son identité, sa qualité, son intérêt à conclure le contrat, la lésion susceptible invoquée, les pièces qui lui sont propres et les demandes qu'il soutient.</w:t>
      </w:r>
    </w:p>
    <w:p>
      <w:pPr>
        <w:pStyle w:val="Intertitre"/>
      </w:pPr>
      <w:r>
        <w:t xml:space="preserve">Le requérant agit-il seul ou par avocat ? — choisir une seule variante</w:t>
      </w:r>
    </w:p>
    <w:p>
      <w:pPr>
        <w:pStyle w:val="Variante"/>
      </w:pPr>
      <w:r>
        <w:t xml:space="preserve">Variante : REQUÉRANT AGISSANT SANS AVOCAT</w:t>
      </w:r>
    </w:p>
    <w:p>
      <w:pPr>
        <w:pStyle w:val="Corps"/>
      </w:pPr>
      <w:r>
        <w:t xml:space="preserve">Le requérant agit sans avocat et la requête est présentée par [Signataire de la requête]. La qualité du signataire, la faculté de saisir directement la juridiction et le canal de dépôt utilisé ressortent des pièces, sans confusion avec le régime de Télérecours réservé aux professionnels.</w:t>
      </w:r>
    </w:p>
    <w:p>
      <w:pPr>
        <w:pStyle w:val="Variante"/>
      </w:pPr>
      <w:r>
        <w:t xml:space="preserve">Variante : REQUÉRANT REPRÉSENTÉ PAR AVOCAT</w:t>
      </w:r>
    </w:p>
    <w:p>
      <w:pPr>
        <w:pStyle w:val="Corps"/>
      </w:pPr>
      <w:r>
        <w:t xml:space="preserve">Le requérant est représenté par [Avocat du requérant], avocat constitué pour la présente instance. Le mandat procédural, l'identification du cabinet et la signature électronique du dépôt permettent de rattacher sans ambiguïté la requête et les pièces à la partie représentée.</w:t>
      </w:r>
    </w:p>
    <w:p>
      <w:pPr>
        <w:pStyle w:val="Intertitre"/>
      </w:pPr>
      <w:r>
        <w:t xml:space="preserve">ACHETEUR DÉFENDEUR</w:t>
      </w:r>
    </w:p>
    <w:p>
      <w:pPr>
        <w:pStyle w:val="Corps"/>
      </w:pPr>
      <w:r>
        <w:t xml:space="preserve">La requête est dirigée contre [Identité de l'acheteur ou de l'entité adjudicatrice], acheteur ayant conduit la procédure et conclu le contrat litigieux. Cette partie est représentée par [Représentant de l'acheteur] ; son identification permet la notification contradictoire de la requête et l'examen des actes de passation qui lui sont imputés.</w:t>
      </w:r>
    </w:p>
    <w:p>
      <w:pPr>
        <w:pStyle w:val="Intertitre"/>
      </w:pPr>
      <w:r>
        <w:t xml:space="preserve">Clause optionnelle : TITULAIRE DU CONTRAT</w:t>
      </w:r>
    </w:p>
    <w:p>
      <w:pPr>
        <w:pStyle w:val="Corps"/>
      </w:pPr>
      <w:r>
        <w:t xml:space="preserve">Le titulaire du contrat conclu est [Identité de l'attributaire pressenti]. Son identité, la décision d'attribution et le lien avec le contrat ressortent de [Informations sur l'attribution] ; sa présence dans l'instance permet que les demandes susceptibles d'affecter le contrat soient débattues contradictoirement.</w:t>
      </w:r>
    </w:p>
    <w:p>
      <w:pPr>
        <w:pStyle w:val="Intertitre"/>
      </w:pPr>
      <w:r>
        <w:t xml:space="preserve">Le recours est-il exercé par un opérateur ou le représentant de l'État ? — choisir une seule variante</w:t>
      </w:r>
    </w:p>
    <w:p>
      <w:pPr>
        <w:pStyle w:val="Variante"/>
      </w:pPr>
      <w:r>
        <w:t xml:space="preserve">Variante : RECOURS D'UN OPÉRATEUR ÉCONOMIQUE</w:t>
      </w:r>
    </w:p>
    <w:p>
      <w:pPr>
        <w:pStyle w:val="Corps"/>
      </w:pPr>
      <w:r>
        <w:t xml:space="preserve">Le requérant agit comme opérateur économique intéressé par la conclusion du contrat. Il lui appartient d'établir non seulement cet intérêt, mais également que les manquements aux obligations de publicité ou de mise en concurrence invoqués étaient susceptibles de le léser au regard de leur portée et de sa situation propre.</w:t>
      </w:r>
    </w:p>
    <w:p>
      <w:pPr>
        <w:pStyle w:val="Intertitre"/>
      </w:pPr>
      <w:r>
        <w:t xml:space="preserve">Clause optionnelle : OPÉRATEUR ÉVINCÉ APRÈS CANDIDATURE OU OFFRE</w:t>
      </w:r>
    </w:p>
    <w:p>
      <w:pPr>
        <w:pStyle w:val="Corps"/>
      </w:pPr>
      <w:r>
        <w:t xml:space="preserve">La participation du requérant à la procédure ressort de [Candidature du requérant] et de [Offre du requérant]. Ces pièces sont rapprochées de [Intérêt à conclure le contrat] afin d'établir la nature de sa candidature, le lot concerné, la recevabilité de son offre et son intérêt concret à obtenir le contrat.</w:t>
      </w:r>
    </w:p>
    <w:p>
      <w:pPr>
        <w:pStyle w:val="Intertitre"/>
      </w:pPr>
      <w:r>
        <w:t xml:space="preserve">Clause optionnelle : OPÉRATEUR EMPÊCHÉ DE PARTICIPER UTILEMENT</w:t>
      </w:r>
    </w:p>
    <w:p>
      <w:pPr>
        <w:pStyle w:val="Corps"/>
      </w:pPr>
      <w:r>
        <w:t xml:space="preserve">Le requérant expose qu'il disposait d'un intérêt à conclure le contrat, tel qu'il résulte de [Intérêt à conclure le contrat], mais qu'il a été empêché de participer utilement. Les circonstances précises de cet empêchement, leur imputabilité au manquement et leur incidence sont établies par [Raisons ayant empêché la candidature].</w:t>
      </w:r>
    </w:p>
    <w:p>
      <w:pPr>
        <w:pStyle w:val="Intertitre"/>
      </w:pPr>
      <w:r>
        <w:t xml:space="preserve">Le recours est-il exercé par un opérateur ou le représentant de l'État ? — choisir une seule variante</w:t>
      </w:r>
    </w:p>
    <w:p>
      <w:pPr>
        <w:pStyle w:val="Variante"/>
      </w:pPr>
      <w:r>
        <w:t xml:space="preserve">Variante : QUALITÉ POUR AGIR DU REPRÉSENTANT DE L'ÉTAT</w:t>
      </w:r>
    </w:p>
    <w:p>
      <w:pPr>
        <w:pStyle w:val="Corps"/>
      </w:pPr>
      <w:r>
        <w:t xml:space="preserve">Le recours est présenté par le représentant de l'État sur le fondement de la qualité décrite dans [Qualité du représentant de l'État]. Cette pièce identifie la collectivité territoriale ou l'établissement public local concerné, le contrat conclu et le rattachement de la saisine aux pouvoirs légalement reconnus au représentant de l'État.</w:t>
      </w:r>
    </w:p>
    <w:p>
      <w:pPr>
        <w:pStyle w:val="Intertitre"/>
      </w:pPr>
      <w:r>
        <w:t xml:space="preserve">Clause optionnelle : INTÉRÊT À CONCLURE LE CONTRAT ÉTABLI</w:t>
      </w:r>
    </w:p>
    <w:p>
      <w:pPr>
        <w:pStyle w:val="Corps"/>
      </w:pPr>
      <w:r>
        <w:t xml:space="preserve">L'intérêt du requérant à conclure le contrat est caractérisé par [Intérêt à conclure le contrat]. Cette démonstration précise l'activité concernée, la capacité à candidater, le lot ou les prestations visés et l'avantage attendu de la conclusion, sans déduire cet intérêt de la seule existence d'un désaccord avec l'acheteur.</w:t>
      </w:r>
    </w:p>
    <w:p>
      <w:pPr>
        <w:pStyle w:val="Intertitre"/>
      </w:pPr>
      <w:r>
        <w:t xml:space="preserve">Clause optionnelle : LÉSION SUSCEPTIBLE ÉTABLIE</w:t>
      </w:r>
    </w:p>
    <w:p>
      <w:pPr>
        <w:pStyle w:val="Corps"/>
      </w:pPr>
      <w:r>
        <w:t xml:space="preserve">Les manquements invoqués sont susceptibles d'avoir lésé le requérant pour les motifs exposés dans [Lien entre le manquement et la lésion susceptible]. Leur portée est appréciée au regard de sa situation et de l'incidence décrite dans [Incidence du stade de la procédure], en distinguant chaque irrégularité de la chance concrète qu'elle a pu affecter.</w:t>
      </w:r>
    </w:p>
    <w:p>
      <w:pPr>
        <w:pStyle w:val="Intertitre"/>
      </w:pPr>
      <w:r>
        <w:t xml:space="preserve">Quel est l'objet principal du contrat ? — choisir une seule variante</w:t>
      </w:r>
    </w:p>
    <w:p>
      <w:pPr>
        <w:pStyle w:val="Variante"/>
      </w:pPr>
      <w:r>
        <w:t xml:space="preserve">Variante : MARCHÉ DE TRAVAUX</w:t>
      </w:r>
    </w:p>
    <w:p>
      <w:pPr>
        <w:pStyle w:val="Corps"/>
      </w:pPr>
      <w:r>
        <w:t xml:space="preserve">La consultation [Référence de la consultation] porte sur un marché de travaux ayant pour objet [Objet de la consultation]. Les prestations, tranches et lots concernés sont identifiés dans [Lots concernés], afin de circonscrire le contrat attaqué, les obligations de passation applicables et la portée d'une éventuelle sanction.</w:t>
      </w:r>
    </w:p>
    <w:p>
      <w:pPr>
        <w:pStyle w:val="Variante"/>
      </w:pPr>
      <w:r>
        <w:t xml:space="preserve">Variante : MARCHÉ DE FOURNITURES</w:t>
      </w:r>
    </w:p>
    <w:p>
      <w:pPr>
        <w:pStyle w:val="Corps"/>
      </w:pPr>
      <w:r>
        <w:t xml:space="preserve">La consultation [Référence de la consultation] porte sur un marché de fournitures ayant pour objet [Objet de la consultation]. Les fournitures et lots concernés sont individualisés dans [Lots concernés], ce qui permet de relier les obligations de publicité, la candidature du requérant et les demandes aux seules composantes pertinentes du contrat.</w:t>
      </w:r>
    </w:p>
    <w:p>
      <w:pPr>
        <w:pStyle w:val="Variante"/>
      </w:pPr>
      <w:r>
        <w:t xml:space="preserve">Variante : MARCHÉ DE SERVICES</w:t>
      </w:r>
    </w:p>
    <w:p>
      <w:pPr>
        <w:pStyle w:val="Corps"/>
      </w:pPr>
      <w:r>
        <w:t xml:space="preserve">La consultation [Référence de la consultation] porte sur un marché de services ayant pour objet [Objet de la consultation]. Les prestations et lots concernés sont décrits dans [Lots concernés], de manière à identifier le périmètre exact de la mise en concurrence et les effets qu'aurait la sanction sollicitée.</w:t>
      </w:r>
    </w:p>
    <w:p>
      <w:pPr>
        <w:pStyle w:val="Variante"/>
      </w:pPr>
      <w:r>
        <w:t xml:space="preserve">Variante : MARCHÉ MIXTE QUALIFIÉ</w:t>
      </w:r>
    </w:p>
    <w:p>
      <w:pPr>
        <w:pStyle w:val="Corps"/>
      </w:pPr>
      <w:r>
        <w:t xml:space="preserve">La consultation [Référence de la consultation] présente plusieurs composantes dont l'objet et l'économie sont exposés dans [Objet de la consultation]. La composante principale, le régime juridique retenu et les obligations de passation qui en résultent sont distingués afin d'éviter l'application indifférenciée de règles propres à un autre type de contrat.</w:t>
      </w:r>
    </w:p>
    <w:p>
      <w:pPr>
        <w:pStyle w:val="Intertitre"/>
      </w:pPr>
      <w:r>
        <w:t xml:space="preserve">Quelle procédure de passation a été suivie ? — choisir une seule variante</w:t>
      </w:r>
    </w:p>
    <w:p>
      <w:pPr>
        <w:pStyle w:val="Variante"/>
      </w:pPr>
      <w:r>
        <w:t xml:space="preserve">Variante : APPEL D'OFFRES OUVERT</w:t>
      </w:r>
    </w:p>
    <w:p>
      <w:pPr>
        <w:pStyle w:val="Corps"/>
      </w:pPr>
      <w:r>
        <w:t xml:space="preserve">La passation a suivi la procédure d'appel d'offres ouvert décrite dans [Procédure de passation]. Les dates de publication, de remise des candidatures et offres, d'attribution, d'information des évincés et de conclusion sont ordonnées dans [Calendrier de passation] pour permettre le contrôle des formalités et délais.</w:t>
      </w:r>
    </w:p>
    <w:p>
      <w:pPr>
        <w:pStyle w:val="Variante"/>
      </w:pPr>
      <w:r>
        <w:t xml:space="preserve">Variante : APPEL D'OFFRES RESTREINT</w:t>
      </w:r>
    </w:p>
    <w:p>
      <w:pPr>
        <w:pStyle w:val="Corps"/>
      </w:pPr>
      <w:r>
        <w:t xml:space="preserve">La passation a suivi la procédure d'appel d'offres restreint décrite dans [Procédure de passation]. Le calendrier [Calendrier de passation] distingue la sélection des candidats, l'invitation à soumissionner, la remise des offres, l'attribution, l'information des évincés et la conclusion du contrat.</w:t>
      </w:r>
    </w:p>
    <w:p>
      <w:pPr>
        <w:pStyle w:val="Variante"/>
      </w:pPr>
      <w:r>
        <w:t xml:space="preserve">Variante : PROCÉDURE AVEC NÉGOCIATION</w:t>
      </w:r>
    </w:p>
    <w:p>
      <w:pPr>
        <w:pStyle w:val="Corps"/>
      </w:pPr>
      <w:r>
        <w:t xml:space="preserve">La passation a suivi la procédure avec négociation décrite dans [Procédure de passation]. Le calendrier [Calendrier de passation] retrace les invitations, les échanges et tours de négociation, le dépôt des offres finales, l'attribution et la conclusion afin d'apprécier l'égalité de traitement et la transparence.</w:t>
      </w:r>
    </w:p>
    <w:p>
      <w:pPr>
        <w:pStyle w:val="Variante"/>
      </w:pPr>
      <w:r>
        <w:t xml:space="preserve">Variante : DIALOGUE COMPÉTITIF</w:t>
      </w:r>
    </w:p>
    <w:p>
      <w:pPr>
        <w:pStyle w:val="Corps"/>
      </w:pPr>
      <w:r>
        <w:t xml:space="preserve">La passation a suivi un dialogue compétitif dont le déroulement résulte de [Procédure de passation]. Le calendrier [Calendrier de passation] individualise les phases de dialogue, les informations communiquées, la clôture du dialogue, les offres finales, l'attribution et la conclusion du contrat.</w:t>
      </w:r>
    </w:p>
    <w:p>
      <w:pPr>
        <w:pStyle w:val="Variante"/>
      </w:pPr>
      <w:r>
        <w:t xml:space="preserve">Variante : PROCÉDURE ADAPTÉE</w:t>
      </w:r>
    </w:p>
    <w:p>
      <w:pPr>
        <w:pStyle w:val="Corps"/>
      </w:pPr>
      <w:r>
        <w:t xml:space="preserve">La passation a suivi la procédure adaptée décrite dans [Procédure de passation]. Les modalités annoncées et les documents opposables sont recensés dans [Documents de la consultation] ; leur mise en œuvre effective est examinée au regard de la transparence, de l'égalité de traitement et des caractéristiques du contrat.</w:t>
      </w:r>
    </w:p>
    <w:p>
      <w:pPr>
        <w:pStyle w:val="Intertitre"/>
      </w:pPr>
      <w:r>
        <w:t xml:space="preserve">Clause optionnelle : CONTRAT CONCLU</w:t>
      </w:r>
    </w:p>
    <w:p>
      <w:pPr>
        <w:pStyle w:val="Corps"/>
      </w:pPr>
      <w:r>
        <w:t xml:space="preserve">Le contrat a été conclu à la date [Date de conclusion du contrat] entre les parties identifiées dans [Copie du contrat conclu]. La preuve de cette conclusion, de son objet, de sa prise d'effet et de ses annexes résulte de [Preuve de la conclusion du contrat], ce qui distingue le présent recours d'un référé précontractuel.</w:t>
      </w:r>
    </w:p>
    <w:p>
      <w:pPr>
        <w:pStyle w:val="Intertitre"/>
      </w:pPr>
      <w:r>
        <w:t xml:space="preserve">Clause optionnelle : COPIE DU CONTRAT CONTRÔLÉE</w:t>
      </w:r>
    </w:p>
    <w:p>
      <w:pPr>
        <w:pStyle w:val="Corps"/>
      </w:pPr>
      <w:r>
        <w:t xml:space="preserve">La copie complète du contrat et de ses annexes pertinentes est identifiée par [Copie du contrat conclu]. Elle permet de vérifier les signataires, l'objet, le prix ou la contrepartie, la durée, la date de prise d'effet et les clauses dont l'exécution serait affectée par les sanctions demandées.</w:t>
      </w:r>
    </w:p>
    <w:p>
      <w:pPr>
        <w:pStyle w:val="Intertitre"/>
      </w:pPr>
      <w:r>
        <w:t xml:space="preserve">ÉTAT D'EXÉCUTION DU CONTRAT</w:t>
      </w:r>
    </w:p>
    <w:p>
      <w:pPr>
        <w:pStyle w:val="Corps"/>
      </w:pPr>
      <w:r>
        <w:t xml:space="preserve">L'état d'exécution du contrat est décrit dans [État d'exécution du contrat]. Les prestations commencées, paiements réalisés, engagements envers des tiers et effets déjà produits sont détaillés dans [Effets produits par le contrat], afin d'éclairer la suspension provisoire, la nullité, la résiliation ou la réduction de durée éventuellement envisagée.</w:t>
      </w:r>
    </w:p>
    <w:p>
      <w:pPr>
        <w:pStyle w:val="Intertitre"/>
      </w:pPr>
      <w:r>
        <w:t xml:space="preserve">DOCUMENTS ET CHRONOLOGIE DE LA CONSULTATION</w:t>
      </w:r>
    </w:p>
    <w:p>
      <w:pPr>
        <w:pStyle w:val="Corps"/>
      </w:pPr>
      <w:r>
        <w:t xml:space="preserve">Les règles et informations opposables aux candidats résultent de [Documents de la consultation]. La chronologie de la procédure est retracée par [Chronologie de la passation] et les mesures de publicité par [Publicité et preuve de publication] ; ces éléments sont présentés dans leur ordre afin de distinguer les faits constants des appréciations juridiques.</w:t>
      </w:r>
    </w:p>
    <w:p>
      <w:pPr>
        <w:pStyle w:val="Intertitre"/>
      </w:pPr>
      <w:r>
        <w:t xml:space="preserve">Clause optionnelle : CANDIDATURE ET OFFRE DU REQUÉRANT</w:t>
      </w:r>
    </w:p>
    <w:p>
      <w:pPr>
        <w:pStyle w:val="Corps"/>
      </w:pPr>
      <w:r>
        <w:t xml:space="preserve">La candidature et l'offre effectivement remises sont établies par [Candidature du requérant] et [Offre du requérant]. Leur contenu permet d'identifier les capacités invoquées, le lot visé, les réserves éventuelles et la position du requérant sans substituer à ces pièces une présentation reconstruite après la conclusion du contrat.</w:t>
      </w:r>
    </w:p>
    <w:p>
      <w:pPr>
        <w:pStyle w:val="Intertitre"/>
      </w:pPr>
      <w:r>
        <w:t xml:space="preserve">Clause optionnelle : REJET, ATTRIBUTION ET CONCLUSION</w:t>
      </w:r>
    </w:p>
    <w:p>
      <w:pPr>
        <w:pStyle w:val="Corps"/>
      </w:pPr>
      <w:r>
        <w:t xml:space="preserve">La décision et les motifs de rejet ressortent de [Notification de rejet]. Ils sont rapprochés de [Informations sur l'attribution] et de [Preuve de la conclusion du contrat] pour établir l'identité de l'attributaire, la date possible de signature, la date de conclusion effective et l'information dont disposait le requérant.</w:t>
      </w:r>
    </w:p>
    <w:p>
      <w:pPr>
        <w:pStyle w:val="Intertitre"/>
      </w:pPr>
      <w:r>
        <w:t xml:space="preserve">Clause optionnelle : EMPÊCHEMENT DE PARTICIPER</w:t>
      </w:r>
    </w:p>
    <w:p>
      <w:pPr>
        <w:pStyle w:val="Corps"/>
      </w:pPr>
      <w:r>
        <w:t xml:space="preserve">Les circonstances ayant empêché une candidature ou une offre utile sont exposées dans [Raisons ayant empêché la candidature]. Le document précise la règle ou l'information défaillante, le moment auquel l'obstacle est survenu, les diligences accomplies par l'opérateur et le lien entre cet obstacle et sa privation de participation.</w:t>
      </w:r>
    </w:p>
    <w:p>
      <w:pPr>
        <w:pStyle w:val="Intertitre"/>
      </w:pPr>
      <w:r>
        <w:t xml:space="preserve">Clause optionnelle : SAISINE PAR LE REPRÉSENTANT DE L'ÉTAT</w:t>
      </w:r>
    </w:p>
    <w:p>
      <w:pPr>
        <w:pStyle w:val="Corps"/>
      </w:pPr>
      <w:r>
        <w:t xml:space="preserve">Les circonstances justifiant la saisine par le représentant de l'État sont rassemblées dans [Contrôle du dossier de consultation]. Elles identifient l'acheteur local, le contrat conclu, les actes transmis au contrôle, le manquement invoqué et les pièces qui fondent la compétence et la recevabilité de ce recours particulier.</w:t>
      </w:r>
    </w:p>
    <w:p>
      <w:pPr>
        <w:pStyle w:val="Intertitre"/>
      </w:pPr>
      <w:r>
        <w:t xml:space="preserve">MATRICE DES FAITS, MANQUEMENTS ET PIÈCES</w:t>
      </w:r>
    </w:p>
    <w:p>
      <w:pPr>
        <w:pStyle w:val="Corps"/>
      </w:pPr>
      <w:r>
        <w:t xml:space="preserve">La présentation des faits repose sur la matrice [Matrice faits, manquements et pièces]. Pour chaque manquement, elle rapproche l'obligation applicable, l'acte ou l'omission contesté, la date pertinente, la pièce correspondante, la lésion invoquée et la sanction demandée, afin d'éviter tout moyen sans support factuel.</w:t>
      </w:r>
    </w:p>
    <w:p>
      <w:pPr>
        <w:pStyle w:val="Intertitre"/>
      </w:pPr>
      <w:r>
        <w:t xml:space="preserve">Clause optionnelle : DOSSIER DE PASSATION CONTRÔLÉ</w:t>
      </w:r>
    </w:p>
    <w:p>
      <w:pPr>
        <w:pStyle w:val="Corps"/>
      </w:pPr>
      <w:r>
        <w:t xml:space="preserve">Le dossier de passation analysé dans [Contrôle du dossier de consultation] comprend les avis, documents de consultation, questions-réponses, candidatures, offres, échanges, rapports, décisions, notifications et pièces de conclusion utiles. Les documents absents ou incomplets y sont signalés sans que leur contenu soit présumé.</w:t>
      </w:r>
    </w:p>
    <w:p>
      <w:pPr>
        <w:pStyle w:val="Intertitre"/>
      </w:pPr>
      <w:r>
        <w:t xml:space="preserve">Quelle est l'incidence d'un référé précontractuel antérieur ? — choisir une seule variante</w:t>
      </w:r>
    </w:p>
    <w:p>
      <w:pPr>
        <w:pStyle w:val="Variante"/>
      </w:pPr>
      <w:r>
        <w:t xml:space="preserve">Variante : AUCUN RÉFÉRÉ PRÉCONTRACTUEL ANTÉRIEUR</w:t>
      </w:r>
    </w:p>
    <w:p>
      <w:pPr>
        <w:pStyle w:val="Corps"/>
      </w:pPr>
      <w:r>
        <w:t xml:space="preserve">Aucun référé précontractuel n'a été exercé avant la conclusion du contrat. La recevabilité est donc appréciée à partir de l'intérêt et de la lésion du requérant, des formalités d'information accomplies par l'acheteur, des éventuelles protections résultant d'une transparence volontaire et du délai applicable au recours contractuel.</w:t>
      </w:r>
    </w:p>
    <w:p>
      <w:pPr>
        <w:pStyle w:val="Variante"/>
      </w:pPr>
      <w:r>
        <w:t xml:space="preserve">Variante : SIGNATURE MALGRÉ LA SUSPENSION PRÉCONTRACTUELLE</w:t>
      </w:r>
    </w:p>
    <w:p>
      <w:pPr>
        <w:pStyle w:val="Corps"/>
      </w:pPr>
      <w:r>
        <w:t xml:space="preserve">Un référé précontractuel avait été introduit avant la conclusion, comme l'établit [Éléments du référé précontractuel antérieur]. Le contrat aurait néanmoins été signé pendant la suspension juridictionnelle ; la date et les circonstances de cette signature sont précisées dans [Violation de la suspension précontractuelle] et rapprochées de la notification de la décision.</w:t>
      </w:r>
    </w:p>
    <w:p>
      <w:pPr>
        <w:pStyle w:val="Variante"/>
      </w:pPr>
      <w:r>
        <w:t xml:space="preserve">Variante : INEXÉCUTION DE L'ORDONNANCE PRÉCONTRACTUELLE</w:t>
      </w:r>
    </w:p>
    <w:p>
      <w:pPr>
        <w:pStyle w:val="Corps"/>
      </w:pPr>
      <w:r>
        <w:t xml:space="preserve">Le référé précontractuel antérieur et la décision rendue sont établis par [Éléments du référé précontractuel antérieur]. Les mesures ordonnées, leur date de notification et les actes de passation postérieurs sont rapprochés de [Inexécution de l'ordonnance précontractuelle] pour démontrer en quoi l'acheteur ne se serait pas conformé à la décision.</w:t>
      </w:r>
    </w:p>
    <w:p>
      <w:pPr>
        <w:pStyle w:val="Variante"/>
      </w:pPr>
      <w:r>
        <w:t xml:space="preserve">Variante : RÉFÉRÉ PRÉCONTRACTUEL AYANT FERMÉ LA VOIE CONTRACTUELLE</w:t>
      </w:r>
    </w:p>
    <w:p>
      <w:pPr>
        <w:pStyle w:val="Corps"/>
      </w:pPr>
      <w:r>
        <w:t xml:space="preserve">Le requérant a exercé un référé précontractuel, la suspension de signature a été respectée et l'acheteur s'est conformé à la décision, ainsi qu'il résulte de [Éléments du référé précontractuel antérieur]. Dans cette configuration, la voie du référé contractuel n'est pas ouverte au même demandeur et la requête ne peut être exportée comme recevable.</w:t>
      </w:r>
    </w:p>
    <w:p>
      <w:pPr>
        <w:pStyle w:val="Intertitre"/>
      </w:pPr>
      <w:r>
        <w:t xml:space="preserve">Quel fondement ouvre la voie contractuelle ? — choisir une seule variante</w:t>
      </w:r>
    </w:p>
    <w:p>
      <w:pPr>
        <w:pStyle w:val="Variante"/>
      </w:pPr>
      <w:r>
        <w:t xml:space="preserve">Variante : ABSENCE DE NOTIFICATION UTILE DE L'ATTRIBUTION</w:t>
      </w:r>
    </w:p>
    <w:p>
      <w:pPr>
        <w:pStyle w:val="Corps"/>
      </w:pPr>
      <w:r>
        <w:t xml:space="preserve">Le requérant soutient avoir été privé d'un référé précontractuel utile. La teneur et la date de l'information d'attribution sont analysées dans [Analyse de la notification d'attribution], tandis que [Privation d'un recours précontractuel utile] expose précisément pourquoi cette information n'aurait pas permis une saisine effective avant la conclusion du contrat.</w:t>
      </w:r>
    </w:p>
    <w:p>
      <w:pPr>
        <w:pStyle w:val="Variante"/>
      </w:pPr>
      <w:r>
        <w:t xml:space="preserve">Variante : NON-RESPECT DU DÉLAI DE SIGNATURE</w:t>
      </w:r>
    </w:p>
    <w:p>
      <w:pPr>
        <w:pStyle w:val="Corps"/>
      </w:pPr>
      <w:r>
        <w:t xml:space="preserve">La notification de la décision d'attribution, la voie de transmission et la date de conclusion sont rapprochées dans [Analyse du délai de signature]. L'analyse [Privation d'un recours précontractuel utile] précise si la réduction ou l'absence du délai de suspension a concrètement empêché le requérant de saisir utilement le juge avant la signature.</w:t>
      </w:r>
    </w:p>
    <w:p>
      <w:pPr>
        <w:pStyle w:val="Variante"/>
      </w:pPr>
      <w:r>
        <w:t xml:space="preserve">Variante : CONTRAT SANS PUBLICITÉ PRÉALABLE</w:t>
      </w:r>
    </w:p>
    <w:p>
      <w:pPr>
        <w:pStyle w:val="Corps"/>
      </w:pPr>
      <w:r>
        <w:t xml:space="preserve">Le contrat aurait été conclu sans les mesures de publicité préalable requises. [Publicité et preuve de publication] identifie les supports consultés et l'absence alléguée, tandis que [Analyse de la transparence volontaire] examine séparément si un avis d'intention et un délai protecteur ont néanmoins fermé la voie contractuelle.</w:t>
      </w:r>
    </w:p>
    <w:p>
      <w:pPr>
        <w:pStyle w:val="Variante"/>
      </w:pPr>
      <w:r>
        <w:t xml:space="preserve">Variante : MARCHÉ FONDÉ SUR UN ACCORD-CADRE OU UN SYSTÈME DYNAMIQUE</w:t>
      </w:r>
    </w:p>
    <w:p>
      <w:pPr>
        <w:pStyle w:val="Corps"/>
      </w:pPr>
      <w:r>
        <w:t xml:space="preserve">Le contrat a été attribué sur le fondement d'un accord-cadre ou d'un système d'acquisition dynamique. [Analyse des formalités de l'accord-cadre ou du système dynamique] expose la remise en concurrence, la notification du titulaire et de ses motifs, le mode d'envoi ainsi que le délai séparant cette notification de la conclusion.</w:t>
      </w:r>
    </w:p>
    <w:p>
      <w:pPr>
        <w:pStyle w:val="Variante"/>
      </w:pPr>
      <w:r>
        <w:t xml:space="preserve">Variante : RECEVABILITÉ DU RECOURS DU REPRÉSENTANT DE L'ÉTAT</w:t>
      </w:r>
    </w:p>
    <w:p>
      <w:pPr>
        <w:pStyle w:val="Corps"/>
      </w:pPr>
      <w:r>
        <w:t xml:space="preserve">La saisine est exercée par le représentant de l'État dans le cas d'un contrat passé par une collectivité territoriale ou un établissement public local. La qualité du requérant, le rattachement du contrat et la base de son intervention sont établis par [Qualité du représentant de l'État].</w:t>
      </w:r>
    </w:p>
    <w:p>
      <w:pPr>
        <w:pStyle w:val="Intertitre"/>
      </w:pPr>
      <w:r>
        <w:t xml:space="preserve">La transparence volontaire ferme-t-elle la voie ? — choisir une seule variante</w:t>
      </w:r>
    </w:p>
    <w:p>
      <w:pPr>
        <w:pStyle w:val="Variante"/>
      </w:pPr>
      <w:r>
        <w:t xml:space="preserve">Variante : TRANSPARENCE VOLONTAIRE NON APPLICABLE</w:t>
      </w:r>
    </w:p>
    <w:p>
      <w:pPr>
        <w:pStyle w:val="Corps"/>
      </w:pPr>
      <w:r>
        <w:t xml:space="preserve">La protection attachée à la transparence volontaire n'est pas applicable dans la configuration du contrat. [Analyse de la transparence volontaire] expose la nature de la procédure, les obligations ordinaires d'information applicables et la raison pour laquelle aucun avis d'intention de conclure n'est opposé au requérant.</w:t>
      </w:r>
    </w:p>
    <w:p>
      <w:pPr>
        <w:pStyle w:val="Variante"/>
      </w:pPr>
      <w:r>
        <w:t xml:space="preserve">Variante : AUCUNE TRANSPARENCE VOLONTAIRE OPPOSABLE</w:t>
      </w:r>
    </w:p>
    <w:p>
      <w:pPr>
        <w:pStyle w:val="Corps"/>
      </w:pPr>
      <w:r>
        <w:t xml:space="preserve">L'acheteur ne justifie pas avoir accompli l'ensemble des formalités de transparence volontaire susceptibles de fermer le recours. [Analyse de la transparence volontaire] distingue l'absence d'avis, l'absence de publication utile et l'absence de délai protecteur, sans assimiler une information informelle à cette procédure.</w:t>
      </w:r>
    </w:p>
    <w:p>
      <w:pPr>
        <w:pStyle w:val="Variante"/>
      </w:pPr>
      <w:r>
        <w:t xml:space="preserve">Variante : TRANSPARENCE VOLONTAIRE INCOMPLÈTE</w:t>
      </w:r>
    </w:p>
    <w:p>
      <w:pPr>
        <w:pStyle w:val="Corps"/>
      </w:pPr>
      <w:r>
        <w:t xml:space="preserve">Une démarche de transparence volontaire est invoquée, mais l'une de ses conditions n'est pas remplie. [Analyse de la transparence volontaire] identifie l'avis publié, son contenu, son support, la date de publication et le délai observé, puis précise la défaillance qui empêche de lui reconnaître un effet d'exclusion.</w:t>
      </w:r>
    </w:p>
    <w:p>
      <w:pPr>
        <w:pStyle w:val="Variante"/>
      </w:pPr>
      <w:r>
        <w:t xml:space="preserve">Variante : TRANSPARENCE VOLONTAIRE AYANT FERMÉ LA VOIE</w:t>
      </w:r>
    </w:p>
    <w:p>
      <w:pPr>
        <w:pStyle w:val="Corps"/>
      </w:pPr>
      <w:r>
        <w:t xml:space="preserve">L'acheteur établit une publicité conforme de son intention de conclure et le respect du délai protecteur, selon [Analyse de la transparence volontaire]. Ces formalités ferment le référé contractuel dans la configuration visée ; la requête ne peut donc être exportée comme recevable sur ce fondement.</w:t>
      </w:r>
    </w:p>
    <w:p>
      <w:pPr>
        <w:pStyle w:val="Intertitre"/>
      </w:pPr>
      <w:r>
        <w:t xml:space="preserve">Les formalités protectrices de l'accord-cadre ou du système dynamique ferment-elles la voie ? — choisir une seule variante</w:t>
      </w:r>
    </w:p>
    <w:p>
      <w:pPr>
        <w:pStyle w:val="Variante"/>
      </w:pPr>
      <w:r>
        <w:t xml:space="preserve">Variante : FORMALITÉS D'ACCORD-CADRE NON APPLICABLES</w:t>
      </w:r>
    </w:p>
    <w:p>
      <w:pPr>
        <w:pStyle w:val="Corps"/>
      </w:pPr>
      <w:r>
        <w:t xml:space="preserve">Le contrat n'est pas fondé sur un accord-cadre ou un système d'acquisition dynamique soumis au mécanisme protecteur correspondant. La recevabilité est examinée au regard des autres formalités de publicité, d'information et de délai applicables à sa procédure de passation.</w:t>
      </w:r>
    </w:p>
    <w:p>
      <w:pPr>
        <w:pStyle w:val="Variante"/>
      </w:pPr>
      <w:r>
        <w:t xml:space="preserve">Variante : FORMALITÉS PROTECTRICES INCOMPLÈTES</w:t>
      </w:r>
    </w:p>
    <w:p>
      <w:pPr>
        <w:pStyle w:val="Corps"/>
      </w:pPr>
      <w:r>
        <w:t xml:space="preserve">L'acheteur invoque les formalités protectrices propres à un accord-cadre ou à un système d'acquisition dynamique, mais leur accomplissement demeure incomplet. [Analyse des formalités de l'accord-cadre ou du système dynamique] précise la notification, ses destinataires, les motifs transmis, son mode d'envoi et le délai observé avant la conclusion.</w:t>
      </w:r>
    </w:p>
    <w:p>
      <w:pPr>
        <w:pStyle w:val="Variante"/>
      </w:pPr>
      <w:r>
        <w:t xml:space="preserve">Variante : FORMALITÉS PROTECTRICES AYANT FERMÉ LA VOIE</w:t>
      </w:r>
    </w:p>
    <w:p>
      <w:pPr>
        <w:pStyle w:val="Corps"/>
      </w:pPr>
      <w:r>
        <w:t xml:space="preserve">La notification de l'attribution, l'indication du titulaire et des motifs ainsi que le délai protecteur sont établis par [Analyse des formalités de l'accord-cadre ou du système dynamique]. Dans cette configuration, le mécanisme légal ferme la voie du référé contractuel et la requête ne peut être exportée comme recevable.</w:t>
      </w:r>
    </w:p>
    <w:p>
      <w:pPr>
        <w:pStyle w:val="Intertitre"/>
      </w:pPr>
      <w:r>
        <w:t xml:space="preserve">Quelle règle de délai est applicable ? — choisir une seule variante</w:t>
      </w:r>
    </w:p>
    <w:p>
      <w:pPr>
        <w:pStyle w:val="Variante"/>
      </w:pPr>
      <w:r>
        <w:t xml:space="preserve">Variante : DÉLAI CALCULÉ APRÈS AVIS OU NOTIFICATION</w:t>
      </w:r>
    </w:p>
    <w:p>
      <w:pPr>
        <w:pStyle w:val="Corps"/>
      </w:pPr>
      <w:r>
        <w:t xml:space="preserve">Le délai de saisine est calculé à partir de la publication de l'avis d'attribution ou, pour le contrat concerné, de la notification de sa conclusion. [Calcul du délai de recours contractuel] identifie l'acte déclencheur, vérifie son contenu et fixe l'échéance au regard du délai légal de trente et un jours.</w:t>
      </w:r>
    </w:p>
    <w:p>
      <w:pPr>
        <w:pStyle w:val="Variante"/>
      </w:pPr>
      <w:r>
        <w:t xml:space="preserve">Variante : DÉLAI EN L'ABSENCE D'AVIS OU DE NOTIFICATION</w:t>
      </w:r>
    </w:p>
    <w:p>
      <w:pPr>
        <w:pStyle w:val="Corps"/>
      </w:pPr>
      <w:r>
        <w:t xml:space="preserve">En l'absence d'avis d'attribution ou de notification répondant aux conditions requises, le délai est calculé à compter du lendemain de la conclusion du contrat. [Calcul du délai de recours contractuel] établit cette absence, la date certaine de conclusion et l'échéance correspondant au délai légal de six mois.</w:t>
      </w:r>
    </w:p>
    <w:p>
      <w:pPr>
        <w:pStyle w:val="Variante"/>
      </w:pPr>
      <w:r>
        <w:t xml:space="preserve">Variante : RÈGLE TERRITORIALE SPÉCIALE VÉRIFIÉE</w:t>
      </w:r>
    </w:p>
    <w:p>
      <w:pPr>
        <w:pStyle w:val="Corps"/>
      </w:pPr>
      <w:r>
        <w:t xml:space="preserve">Une règle territoriale particulière est invoquée pour le calcul du délai. [Calcul du délai de recours contractuel] identifie le territoire concerné, le texte applicable, le support de publicité ou de notification, le point de départ et l'échéance, sans transposer automatiquement la règle de droit commun.</w:t>
      </w:r>
    </w:p>
    <w:p>
      <w:pPr>
        <w:pStyle w:val="Intertitre"/>
      </w:pPr>
      <w:r>
        <w:t xml:space="preserve">Clause optionnelle : DÉLAI DE RECOURS CONTRÔLÉ</w:t>
      </w:r>
    </w:p>
    <w:p>
      <w:pPr>
        <w:pStyle w:val="Corps"/>
      </w:pPr>
      <w:r>
        <w:t xml:space="preserve">La recevabilité temporelle est établie par [Calcul du délai de recours contractuel]. Cette analyse confronte la date de conclusion, la publication ou notification utile, son contenu, le mode d'envoi, le jour de départ et la date de saisine, en conservant les pièces permettant de reproduire le calcul.</w:t>
      </w:r>
    </w:p>
    <w:p>
      <w:pPr>
        <w:pStyle w:val="Intertitre"/>
      </w:pPr>
      <w:r>
        <w:t xml:space="preserve">Clause optionnelle : CHAMP DU RÉFÉRÉ CONTRACTUEL CONTRÔLÉ</w:t>
      </w:r>
    </w:p>
    <w:p>
      <w:pPr>
        <w:pStyle w:val="Corps"/>
      </w:pPr>
      <w:r>
        <w:t xml:space="preserve">Le champ du référé contractuel est établi dans [Champ matériel du référé contractuel]. Sont distingués la nature administrative et la conclusion du contrat, la qualité du requérant, les obligations de passation applicables, l'articulation avec un recours antérieur, les exclusions légales et le délai de saisine.</w:t>
      </w:r>
    </w:p>
    <w:p>
      <w:pPr>
        <w:pStyle w:val="Intertitre"/>
      </w:pPr>
      <w:r>
        <w:t xml:space="preserve">Clause optionnelle : ABSENCE DE TOUTE MESURE DE PUBLICITÉ REQUISE</w:t>
      </w:r>
    </w:p>
    <w:p>
      <w:pPr>
        <w:pStyle w:val="Corps"/>
      </w:pPr>
      <w:r>
        <w:t xml:space="preserve">Le requérant invoque l'absence de toute mesure de publicité requise, décrite dans [Absence de mesures de publicité]. La matrice [Matrice fondements, conditions et pièces] relie cette carence aux obligations applicables, aux supports qui auraient dû être utilisés, aux pièces de vérification et à la nullité encourue, sous réserve des exclusions légalement établies.</w:t>
      </w:r>
    </w:p>
    <w:p>
      <w:pPr>
        <w:pStyle w:val="Intertitre"/>
      </w:pPr>
      <w:r>
        <w:t xml:space="preserve">Clause optionnelle : OMISSION D'UNE PUBLICATION EUROPÉENNE REQUISE</w:t>
      </w:r>
    </w:p>
    <w:p>
      <w:pPr>
        <w:pStyle w:val="Corps"/>
      </w:pPr>
      <w:r>
        <w:t xml:space="preserve">Le requérant invoque l'omission d'une publication au Journal officiel de l'Union européenne alors qu'elle était prescrite, selon [Omission de publication européenne]. [Matrice fondements, conditions et pièces] précise le seuil ou le régime applicable, la publicité effectivement réalisée, la preuve de l'omission et la sanction attachée à ce manquement.</w:t>
      </w:r>
    </w:p>
    <w:p>
      <w:pPr>
        <w:pStyle w:val="Intertitre"/>
      </w:pPr>
      <w:r>
        <w:t xml:space="preserve">Clause optionnelle : MÉCONNAISSANCE DES MODALITÉS DE REMISE EN CONCURRENCE</w:t>
      </w:r>
    </w:p>
    <w:p>
      <w:pPr>
        <w:pStyle w:val="Corps"/>
      </w:pPr>
      <w:r>
        <w:t xml:space="preserve">Le requérant invoque la méconnaissance des modalités de remise en concurrence d'un accord-cadre ou d'un système d'acquisition dynamique, exposée dans [Méconnaissance des modalités de remise en concurrence]. [Matrice fondements, conditions et pièces] rapproche les stipulations applicables, les invitations, l'information des opérateurs, les offres reçues et la sanction susceptible d'en résulter.</w:t>
      </w:r>
    </w:p>
    <w:p>
      <w:pPr>
        <w:pStyle w:val="Intertitre"/>
      </w:pPr>
      <w:r>
        <w:t xml:space="preserve">Clause optionnelle : SIGNATURE AVANT L'EXPIRATION DU DÉLAI APPLICABLE</w:t>
      </w:r>
    </w:p>
    <w:p>
      <w:pPr>
        <w:pStyle w:val="Corps"/>
      </w:pPr>
      <w:r>
        <w:t xml:space="preserve">Le contrat aurait été signé avant l'expiration du délai exigé après l'information des opérateurs évincés. [Signature prématurée] confronte la date et le contenu de la notification à la date certaine de conclusion ; [Matrice fondements, conditions et pièces] distingue ce manquement des conditions supplémentaires nécessaires à une nullité de plein droit.</w:t>
      </w:r>
    </w:p>
    <w:p>
      <w:pPr>
        <w:pStyle w:val="Intertitre"/>
      </w:pPr>
      <w:r>
        <w:t xml:space="preserve">Clause optionnelle : SIGNATURE PENDANT LA SUSPENSION PRÉCONTRACTUELLE</w:t>
      </w:r>
    </w:p>
    <w:p>
      <w:pPr>
        <w:pStyle w:val="Corps"/>
      </w:pPr>
      <w:r>
        <w:t xml:space="preserve">Le contrat aurait été signé pendant la suspension attachée à un référé précontractuel. [Signature pendant la suspension] établit la date de saisine, l'information de l'acheteur, la durée de la suspension, la date de notification de la décision et la signature ; [Matrice fondements, conditions et pièces] en déduit les sanctions légalement ouvertes.</w:t>
      </w:r>
    </w:p>
    <w:p>
      <w:pPr>
        <w:pStyle w:val="Intertitre"/>
      </w:pPr>
      <w:r>
        <w:t xml:space="preserve">Clause optionnelle : MANQUEMENT AFFECTANT LES CHANCES D'OBTENIR LE CONTRAT</w:t>
      </w:r>
    </w:p>
    <w:p>
      <w:pPr>
        <w:pStyle w:val="Corps"/>
      </w:pPr>
      <w:r>
        <w:t xml:space="preserve">Les obligations de publicité ou de mise en concurrence auraient été méconnues d'une manière affectant les chances du requérant d'obtenir le contrat. [Manquement affectant les chances d'obtenir le contrat] individualise le manquement et son effet possible, tandis que [Matrice fondements, conditions et pièces] le combine, lorsque la loi l'exige, avec la privation d'un recours précontractuel utile.</w:t>
      </w:r>
    </w:p>
    <w:p>
      <w:pPr>
        <w:pStyle w:val="Intertitre"/>
      </w:pPr>
      <w:r>
        <w:t xml:space="preserve">Clause optionnelle : AUTRE FONDEMENT CONTRACTUEL VÉRIFIÉ</w:t>
      </w:r>
    </w:p>
    <w:p>
      <w:pPr>
        <w:pStyle w:val="Corps"/>
      </w:pPr>
      <w:r>
        <w:t xml:space="preserve">Le requérant invoque le fondement complémentaire décrit dans [Autre fondement contractuel vérifié]. Avant d'être rattaché au référé contractuel, ce moyen est confronté dans [Matrice fondements, conditions et pièces] au texte qui l'autorise, à ses conditions cumulatives, à la preuve produite, à la lésion alléguée et à la sanction réellement disponible.</w:t>
      </w:r>
    </w:p>
    <w:p>
      <w:pPr>
        <w:pStyle w:val="Intertitre"/>
      </w:pPr>
      <w:r>
        <w:t xml:space="preserve">Clause optionnelle : MATRICE DES FONDEMENTS ET SANCTIONS CONTRÔLÉE</w:t>
      </w:r>
    </w:p>
    <w:p>
      <w:pPr>
        <w:pStyle w:val="Corps"/>
      </w:pPr>
      <w:r>
        <w:t xml:space="preserve">La matrice [Matrice fondements, conditions et pièces] distingue chaque manquement, ses conditions cumulatives, les pièces qui l'établissent, la situation du requérant et la sanction correspondante. Elle sépare notamment les nullités imposées par la loi, les sanctions laissées au choix du juge et les mesures provisoires applicables pendant l'instance.</w:t>
      </w:r>
    </w:p>
    <w:p>
      <w:pPr>
        <w:pStyle w:val="Intertitre"/>
      </w:pPr>
      <w:r>
        <w:t xml:space="preserve">Clause optionnelle : SUSPENSION PROVISOIRE DE L'EXÉCUTION</w:t>
      </w:r>
    </w:p>
    <w:p>
      <w:pPr>
        <w:pStyle w:val="Corps"/>
      </w:pPr>
      <w:r>
        <w:t xml:space="preserve">Pendant l'instance, le requérant sollicite la suspension de l'exécution dans les termes de [Demande de suspension de l'exécution]. La mesure est appréciée à partir de [Mise en balance des intérêts], qui confronte ses avantages aux conséquences négatives pour les parties, les tiers, la continuité du service et l'intérêt public.</w:t>
      </w:r>
    </w:p>
    <w:p>
      <w:pPr>
        <w:pStyle w:val="Intertitre"/>
      </w:pPr>
      <w:r>
        <w:t xml:space="preserve">Clause optionnelle : NULLITÉ DU CONTRAT</w:t>
      </w:r>
    </w:p>
    <w:p>
      <w:pPr>
        <w:pStyle w:val="Corps"/>
      </w:pPr>
      <w:r>
        <w:t xml:space="preserve">La nullité du contrat est demandée pour les motifs formulés dans [Demande de nullité]. Les conséquences concrètes de cette sanction sur les prestations, paiements, tiers et besoins publics sont exposées dans [Effets produits par le contrat], sans confondre nullité obligatoire, faculté de sanction et simple irrégularité de passation.</w:t>
      </w:r>
    </w:p>
    <w:p>
      <w:pPr>
        <w:pStyle w:val="Intertitre"/>
      </w:pPr>
      <w:r>
        <w:t xml:space="preserve">Clause optionnelle : RÉSILIATION DU CONTRAT</w:t>
      </w:r>
    </w:p>
    <w:p>
      <w:pPr>
        <w:pStyle w:val="Corps"/>
      </w:pPr>
      <w:r>
        <w:t xml:space="preserve">À titre principal ou subsidiaire, la résiliation du contrat est sollicitée selon [Demande de résiliation]. Cette demande précise le fondement, la date d'effet recherchée, les prestations à interrompre ou à préserver et les conséquences pour les parties, afin de permettre une sanction proportionnée au manquement retenu.</w:t>
      </w:r>
    </w:p>
    <w:p>
      <w:pPr>
        <w:pStyle w:val="Intertitre"/>
      </w:pPr>
      <w:r>
        <w:t xml:space="preserve">Clause optionnelle : RÉDUCTION DE LA DURÉE DU CONTRAT</w:t>
      </w:r>
    </w:p>
    <w:p>
      <w:pPr>
        <w:pStyle w:val="Corps"/>
      </w:pPr>
      <w:r>
        <w:t xml:space="preserve">À titre principal ou subsidiaire, la réduction de la durée du contrat est sollicitée dans les termes de [Demande de réduction de durée]. La demande identifie la durée initiale, la période déjà exécutée, la durée résiduelle et l'effet dissuasif recherché, en lien avec la gravité du manquement.</w:t>
      </w:r>
    </w:p>
    <w:p>
      <w:pPr>
        <w:pStyle w:val="Intertitre"/>
      </w:pPr>
      <w:r>
        <w:t xml:space="preserve">Clause optionnelle : PÉNALITÉ FINANCIÈRE</w:t>
      </w:r>
    </w:p>
    <w:p>
      <w:pPr>
        <w:pStyle w:val="Corps"/>
      </w:pPr>
      <w:r>
        <w:t xml:space="preserve">L'éventualité d'une pénalité financière est examinée dans [Analyse d'une pénalité financière]. Sa nécessité, son destinataire, son objet dissuasif et son montant sont appréciés par [Proportionnalité des sanctions] dans la limite du plafond légal et au regard du montant hors taxes du contrat.</w:t>
      </w:r>
    </w:p>
    <w:p>
      <w:pPr>
        <w:pStyle w:val="Intertitre"/>
      </w:pPr>
      <w:r>
        <w:t xml:space="preserve">Clause optionnelle : RAISON IMPÉRIEUSE D'INTÉRÊT GÉNÉRAL</w:t>
      </w:r>
    </w:p>
    <w:p>
      <w:pPr>
        <w:pStyle w:val="Corps"/>
      </w:pPr>
      <w:r>
        <w:t xml:space="preserve">Une raison impérieuse d'intérêt général est opposée à la nullité selon [Raison impérieuse d'intérêt général]. L'analyse distingue l'intérêt public invoqué d'un intérêt économique directement lié au contrat, examine les conséquences disproportionnées alléguées et identifie les sanctions de substitution susceptibles de préserver cet intérêt.</w:t>
      </w:r>
    </w:p>
    <w:p>
      <w:pPr>
        <w:pStyle w:val="Intertitre"/>
      </w:pPr>
      <w:r>
        <w:t xml:space="preserve">Clause optionnelle : ABSENCE DE DEMANDE INDEMNITAIRE PRINCIPALE</w:t>
      </w:r>
    </w:p>
    <w:p>
      <w:pPr>
        <w:pStyle w:val="Corps"/>
      </w:pPr>
      <w:r>
        <w:t xml:space="preserve">La présente requête ne comporte aucune demande principale tendant à l'octroi de dommages et intérêts. Les conclusions demeurent limitées aux mesures et sanctions relevant du référé contractuel, sans préjudice d'une action distincte appropriée ni des seules demandes reconventionnelles admises par le texte.</w:t>
      </w:r>
    </w:p>
    <w:p>
      <w:pPr>
        <w:pStyle w:val="Intertitre"/>
      </w:pPr>
      <w:r>
        <w:t xml:space="preserve">Clause optionnelle : OFFICE DU JUGE ET SANCTIONS CONTRÔLÉS</w:t>
      </w:r>
    </w:p>
    <w:p>
      <w:pPr>
        <w:pStyle w:val="Corps"/>
      </w:pPr>
      <w:r>
        <w:t xml:space="preserve">La hiérarchie et la proportionnalité des sanctions sont exposées dans [Proportionnalité des sanctions]. Pour chaque manquement, cette analyse distingue la suspension provisoire, la nullité, la résiliation, la réduction de durée et la pénalité financière, puis justifie la demande principale et les demandes subsidiaires au regard des pouvoirs du juge.</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La requête, le bordereau et les pièces sont transmis par le téléservice professionnel selon [Preuve du dépôt]. Cette preuve identifie le compte de l'avocat ou de la partie habilitée, la date et l'heure d'envoi, le numéro de dépôt, les fichiers effectivement transmis et l'accusé délivré par la juridiction.</w:t>
      </w:r>
    </w:p>
    <w:p>
      <w:pPr>
        <w:pStyle w:val="Variante"/>
      </w:pPr>
      <w:r>
        <w:t xml:space="preserve">Variante : DÉPÔT PAR TÉLÉRECOURS CITOYENS</w:t>
      </w:r>
    </w:p>
    <w:p>
      <w:pPr>
        <w:pStyle w:val="Corps"/>
      </w:pPr>
      <w:r>
        <w:t xml:space="preserve">Le requérant non représenté utilise le téléservice accessible aux citoyens dans les conditions établies par [Preuve du dépôt]. Sont conservés l'identité du déposant, la date et l'heure, la liste des fichiers, le numéro d'enregistrement et l'accusé, afin de prouver la saisine et son contenu.</w:t>
      </w:r>
    </w:p>
    <w:p>
      <w:pPr>
        <w:pStyle w:val="Variante"/>
      </w:pPr>
      <w:r>
        <w:t xml:space="preserve">Variante : DÉPÔT PAPIER AUTORISÉ</w:t>
      </w:r>
    </w:p>
    <w:p>
      <w:pPr>
        <w:pStyle w:val="Corps"/>
      </w:pPr>
      <w:r>
        <w:t xml:space="preserve">Le recours est déposé ou adressé sur support papier dans une configuration où cette voie est admise. [Preuve du dépôt] précise le nombre d'exemplaires, la date de remise ou d'expédition, le récépissé ou suivi postal et l'inventaire des pièces effectivement communiquées.</w:t>
      </w:r>
    </w:p>
    <w:p>
      <w:pPr>
        <w:pStyle w:val="Intertitre"/>
      </w:pPr>
      <w:r>
        <w:t xml:space="preserve">CALENDRIER DU RÉFÉRÉ CONTRACTUEL</w:t>
      </w:r>
    </w:p>
    <w:p>
      <w:pPr>
        <w:pStyle w:val="Corps"/>
      </w:pPr>
      <w:r>
        <w:t xml:space="preserve">Le déroulement de l'instance est retracé dans [Calendrier procédural du référé], depuis la saisine jusqu'à la décision. Cette chronologie est rapprochée de [Calcul du délai de recours contractuel] et tient compte de la communication aux parties, des délais d'observation, de l'audience éventuelle et du délai dans lequel le juge statue.</w:t>
      </w:r>
    </w:p>
    <w:p>
      <w:pPr>
        <w:pStyle w:val="Intertitre"/>
      </w:pPr>
      <w:r>
        <w:t xml:space="preserve">Clause optionnelle : OBSERVATIONS EN DÉFENSE</w:t>
      </w:r>
    </w:p>
    <w:p>
      <w:pPr>
        <w:pStyle w:val="Corps"/>
      </w:pPr>
      <w:r>
        <w:t xml:space="preserve">Les observations en défense sont identifiées par [Observations en défense]. Elles sont analysées moyen par moyen en distinguant les fins de non-recevoir, la contestation des faits, les justifications de passation, la balance des intérêts et les arguments relatifs aux sanctions, avec renvoi aux pièces produites.</w:t>
      </w:r>
    </w:p>
    <w:p>
      <w:pPr>
        <w:pStyle w:val="Intertitre"/>
      </w:pPr>
      <w:r>
        <w:t xml:space="preserve">Clause optionnelle : PRÉPARATION DE L'AUDIENCE</w:t>
      </w:r>
    </w:p>
    <w:p>
      <w:pPr>
        <w:pStyle w:val="Corps"/>
      </w:pPr>
      <w:r>
        <w:t xml:space="preserve">L'audience est préparée selon [Préparation de l'audience]. Les points demeurant en débat portent sur la compétence, la qualité pour agir, le délai, les exclusions, chaque manquement, la lésion, la sanction et l'intérêt public ; les réponses sont ordonnées selon les conclusions écrites et les pièces.</w:t>
      </w:r>
    </w:p>
    <w:p>
      <w:pPr>
        <w:pStyle w:val="Intertitre"/>
      </w:pPr>
      <w:r>
        <w:t xml:space="preserve">Clause optionnelle : OBSERVATIONS ORALES</w:t>
      </w:r>
    </w:p>
    <w:p>
      <w:pPr>
        <w:pStyle w:val="Corps"/>
      </w:pPr>
      <w:r>
        <w:t xml:space="preserve">Les observations orales sont structurées dans [Observations orales]. Elles répondent aux questions du juge et aux moyens adverses sans introduire de fait ou de demande détaché des écritures, et signalent expressément toute pièce ou précision nouvelle soumise au contradictoire.</w:t>
      </w:r>
    </w:p>
    <w:p>
      <w:pPr>
        <w:pStyle w:val="Intertitre"/>
      </w:pPr>
      <w:r>
        <w:t xml:space="preserve">Clause optionnelle : MESURE OU PÉNALITÉ ENVISAGÉE D'OFFICE</w:t>
      </w:r>
    </w:p>
    <w:p>
      <w:pPr>
        <w:pStyle w:val="Corps"/>
      </w:pPr>
      <w:r>
        <w:t xml:space="preserve">Le juge a informé les parties de la mesure ou de la sanction qu'il envisage d'office selon [Mesure envisagée d'office]. La réponse [Observations sur la mesure d'office] traite le fondement, les conditions, la proportionnalité et les conséquences de cette mesure dans le délai ou à l'audience indiqués par la juridiction.</w:t>
      </w:r>
    </w:p>
    <w:p>
      <w:pPr>
        <w:pStyle w:val="Intertitre"/>
      </w:pPr>
      <w:r>
        <w:t xml:space="preserve">Clause optionnelle : DÉPÔT CONTRÔLÉ</w:t>
      </w:r>
    </w:p>
    <w:p>
      <w:pPr>
        <w:pStyle w:val="Corps"/>
      </w:pPr>
      <w:r>
        <w:t xml:space="preserve">La saisine effective est établie par [Preuve du dépôt]. Le canal utilisé, la date et l'heure, l'identité du déposant, le numéro d'enregistrement, l'accusé et la liste des fichiers sont concordants avec la version de la requête et des pièces soumise à la juridiction.</w:t>
      </w:r>
    </w:p>
    <w:p>
      <w:pPr>
        <w:pStyle w:val="Intertitre"/>
      </w:pPr>
      <w:r>
        <w:t xml:space="preserve">PAR CES MOTIFS</w:t>
      </w:r>
    </w:p>
    <w:p>
      <w:pPr>
        <w:pStyle w:val="Corps"/>
      </w:pPr>
      <w:r>
        <w:t xml:space="preserve">Par ces motifs, et tous autres à produire, déduire ou suppléer s'il y a lieu, il est demandé au président du tribunal administratif ou au magistrat délégué de statuer dans les limites du référé contractuel. Les chefs qui suivent sont hiérarchisés selon les fondements établis et les pouvoirs légalement disponibles.</w:t>
      </w:r>
    </w:p>
    <w:p>
      <w:pPr>
        <w:pStyle w:val="Intertitre"/>
      </w:pPr>
      <w:r>
        <w:t xml:space="preserve">Clause optionnelle : DEMANDES FINALES</w:t>
      </w:r>
    </w:p>
    <w:p>
      <w:pPr>
        <w:pStyle w:val="Corps"/>
      </w:pPr>
      <w:r>
        <w:t xml:space="preserve">Il est demandé au juge de faire droit aux conclusions principales et subsidiaires reproduites dans [Dispositif final]. Chaque chef identifie la partie visée, le contrat concerné, la mesure ou sanction sollicitée, sa date d'effet éventuelle et son fondement, sans renvoi global à une demande non développée.</w:t>
      </w:r>
    </w:p>
    <w:p>
      <w:pPr>
        <w:pStyle w:val="Intertitre"/>
      </w:pPr>
      <w:r>
        <w:t xml:space="preserve">Clause optionnelle : FRAIS EXPOSÉS ET NON COMPRIS DANS LES DÉPENS</w:t>
      </w:r>
    </w:p>
    <w:p>
      <w:pPr>
        <w:pStyle w:val="Corps"/>
      </w:pPr>
      <w:r>
        <w:t xml:space="preserve">Il est demandé de mettre à la charge de la partie désignée dans [Demande de frais] la somme sollicitée au titre des frais exposés et non compris dans les dépens. Cette demande est distincte des sanctions contractuelles et ne constitue pas une demande principale de dommages et intérêts.</w:t>
      </w:r>
    </w:p>
    <w:p>
      <w:pPr>
        <w:pStyle w:val="Intertitre"/>
      </w:pPr>
      <w:r>
        <w:t xml:space="preserve">PIÈCES CITÉES</w:t>
      </w:r>
    </w:p>
    <w:p>
      <w:pPr>
        <w:pStyle w:val="Corps"/>
      </w:pPr>
      <w:r>
        <w:t xml:space="preserve">Les pièces invoquées dans le corps de la requête sont identifiées dans [Pièces citées]. Chaque citation renvoie à un numéro, un intitulé et, lorsque le document est volumineux, à la page ou au passage utile, afin que le fait allégué puisse être vérifié sans ambiguïté.</w:t>
      </w:r>
    </w:p>
    <w:p>
      <w:pPr>
        <w:pStyle w:val="Intertitre"/>
      </w:pPr>
      <w:r>
        <w:t xml:space="preserve">BORDEREAU DES PIÈCES</w:t>
      </w:r>
    </w:p>
    <w:p>
      <w:pPr>
        <w:pStyle w:val="Corps"/>
      </w:pPr>
      <w:r>
        <w:t xml:space="preserve">Le bordereau [Bordereau de pièces] énumère les pièces dans l'ordre de leur première citation. Il distingue les documents de passation, la candidature et l'offre, les notifications, le contrat conclu, les preuves de dépôt et les pièces relatives aux effets ou sanctions demandés.</w:t>
      </w:r>
    </w:p>
    <w:p>
      <w:pPr>
        <w:pStyle w:val="Intertitre"/>
      </w:pPr>
      <w:r>
        <w:t xml:space="preserve">Clause optionnelle : SIGNATURE À APPOSER</w:t>
      </w:r>
    </w:p>
    <w:p>
      <w:pPr>
        <w:pStyle w:val="Corps"/>
      </w:pPr>
      <w:r>
        <w:t xml:space="preserve">La présente version demeure un projet et sera signée par [Signataire de la requête] après arrêt définitif des moyens, des conclusions et du bordereau. L'apposition de la signature confirmera l'identité et la qualité du requérant ou de son représentant, sans transformer le projet en preuve d'un dépôt déjà réalisé.</w:t>
      </w:r>
    </w:p>
    <w:p>
      <w:pPr>
        <w:pStyle w:val="Intertitre"/>
      </w:pPr>
      <w:r>
        <w:t xml:space="preserve">Clause optionnelle : REQUÊTE SIGNÉE</w:t>
      </w:r>
    </w:p>
    <w:p>
      <w:pPr>
        <w:pStyle w:val="Corps"/>
      </w:pPr>
      <w:r>
        <w:t xml:space="preserve">Fait et signé à la date [Date de signature] par [Signataire de la requête], dont la qualité pour engager le requérant ou le représenter dans l'instance est établie. La signature porte sur la version concordant avec le dispositif, le bordereau et les fichiers effectivement transmis à la juridiction.</w:t>
      </w:r>
    </w:p>
    <w:p>
      <w:pPr>
        <w:pStyle w:val="Intertitre"/>
      </w:pPr>
      <w:r>
        <w:t xml:space="preserve">Clause optionnelle : EFFETS DE L'ORDONNANCE SUR LE CONTRAT</w:t>
      </w:r>
    </w:p>
    <w:p>
      <w:pPr>
        <w:pStyle w:val="Corps"/>
      </w:pPr>
      <w:r>
        <w:t xml:space="preserve">Les effets de l'ordonnance sur le contrat sont mis en œuvre selon [Suites données au contrat après ordonnance]. Cette analyse reprend séparément la mesure prononcée, sa date d'effet, les prestations et paiements concernés, les obligations des parties, l'éventuelle pénalité et les communications nécessaires aux tiers intéressés.</w:t>
      </w:r>
    </w:p>
    <w:p>
      <w:pPr>
        <w:pStyle w:val="Intertitre"/>
      </w:pPr>
      <w:r>
        <w:t xml:space="preserve">Clause optionnelle : POURVOI EN CASSATION</w:t>
      </w:r>
    </w:p>
    <w:p>
      <w:pPr>
        <w:pStyle w:val="Corps"/>
      </w:pPr>
      <w:r>
        <w:t xml:space="preserve">La décision de former ou non un pourvoi en cassation repose sur [Analyse du pourvoi en cassation]. Sont examinés la date de notification de l'ordonnance, le délai de quinze jours, les chefs contestables, les moyens de droit et l'incidence du pourvoi sur les mesures provisoires et l'exécution du contrat.</w:t>
      </w:r>
    </w:p>
    <w:p>
      <w:pPr>
        <w:pStyle w:val="Intertitre"/>
      </w:pPr>
      <w:r>
        <w:t xml:space="preserve">Clause optionnelle : EXÉCUTION DE L'ORDONNANCE</w:t>
      </w:r>
    </w:p>
    <w:p>
      <w:pPr>
        <w:pStyle w:val="Corps"/>
      </w:pPr>
      <w:r>
        <w:t xml:space="preserve">L'exécution de l'ordonnance est suivie selon [Suites données au contrat après ordonnance]. Ce suivi identifie les diligences attendues de l'acheteur et du titulaire, les échéances, les preuves d'exécution, le sort des prestations en cours et toute difficulté nécessitant une démarche juridictionnelle distincte.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