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RÉFÉRÉ PRÉCONTRACTUEL EN MATIÈRE DE MARCHÉS PUBLICS</w:t>
      </w:r>
    </w:p>
    <w:p>
      <w:pPr>
        <w:pStyle w:val="Intertitre"/>
      </w:pPr>
      <w:r>
        <w:t xml:space="preserve">À quel stade matériel se trouve la requête ? — choisir une seule variante</w:t>
      </w:r>
    </w:p>
    <w:p>
      <w:pPr>
        <w:pStyle w:val="Variante"/>
      </w:pPr>
      <w:r>
        <w:t xml:space="preserve">Variante : PROJET DE REQUÊTE EN RÉFÉRÉ PRÉCONTRACTUEL</w:t>
      </w:r>
    </w:p>
    <w:p>
      <w:pPr>
        <w:pStyle w:val="Corps"/>
      </w:pPr>
      <w:r>
        <w:t xml:space="preserve">Projet rattaché au dossier [Référence du dossier]. Il ne vaut ni dépôt ni affirmation que les conditions du recours sont définitivement réunies. Les faits, moyens et demandes demeurent formulés sous réserve des seules pièces effectivement versées au dossier, tandis que la date de signature annoncée et les échanges avec l'acheteur sont suivis jusqu'au dépôt.</w:t>
      </w:r>
    </w:p>
    <w:p>
      <w:pPr>
        <w:pStyle w:val="Variante"/>
      </w:pPr>
      <w:r>
        <w:t xml:space="preserve">Variante : REQUÊTE EN RÉFÉRÉ PRÉCONTRACTUEL PRÊTE AU DÉPÔT</w:t>
      </w:r>
    </w:p>
    <w:p>
      <w:pPr>
        <w:pStyle w:val="Corps"/>
      </w:pPr>
      <w:r>
        <w:t xml:space="preserve">La requête du dossier [Référence du dossier] est prête à être signée et déposée après contrôle de chaque condition bloquante. La version prête reprend exclusivement les moyens appuyés par une pièce identifiée, relie chacun d'eux à la lésion susceptible invoquée et ordonne les demandes dans les limites des pouvoirs ouverts au juge.</w:t>
      </w:r>
    </w:p>
    <w:p>
      <w:pPr>
        <w:pStyle w:val="Variante"/>
      </w:pPr>
      <w:r>
        <w:t xml:space="preserve">Variante : REQUÊTE EN RÉFÉRÉ PRÉCONTRACTUEL DÉPOSÉE</w:t>
      </w:r>
    </w:p>
    <w:p>
      <w:pPr>
        <w:pStyle w:val="Corps"/>
      </w:pPr>
      <w:r>
        <w:t xml:space="preserve">La requête du dossier [Référence du dossier] a été déposée selon [Preuve du dépôt] et notifiée à l'acheteur selon [Preuve de notification du recours]. La preuve de transmission permet d'identifier la date et l'heure de saisine, la version des écritures et des pièces déposées ainsi que la réception simultanée de la notification par l'acheteur.</w:t>
      </w:r>
    </w:p>
    <w:p>
      <w:pPr>
        <w:pStyle w:val="Variante"/>
      </w:pPr>
      <w:r>
        <w:t xml:space="preserve">Variante : RÉFÉRÉ PRÉCONTRACTUEL EN ATTENTE D'AUDIENCE</w:t>
      </w:r>
    </w:p>
    <w:p>
      <w:pPr>
        <w:pStyle w:val="Corps"/>
      </w:pPr>
      <w:r>
        <w:t xml:space="preserve">Le dossier [Référence du dossier] est appelé selon [Préparation de l'audience] ; l'interdiction de signer demeure suivie jusqu'à la notification de la décision. Les dernières productions adverses, les mesures d'instruction et les délais communiqués par la juridiction sont intégrés sans modifier l'objet du recours ni présenter comme acquis un fait encore contesté.</w:t>
      </w:r>
    </w:p>
    <w:p>
      <w:pPr>
        <w:pStyle w:val="Variante"/>
      </w:pPr>
      <w:r>
        <w:t xml:space="preserve">Variante : ORDONNANCE RENDUE EN RÉFÉRÉ PRÉCONTRACTUEL</w:t>
      </w:r>
    </w:p>
    <w:p>
      <w:pPr>
        <w:pStyle w:val="Corps"/>
      </w:pPr>
      <w:r>
        <w:t xml:space="preserve">L'ordonnance [Ordonnance reçue] est analysée pour ses effets immédiats et les suites procédurales utiles. Le dispositif, les motifs décisifs, la date de notification et les obligations imposées sont distingués afin de déterminer exactement la reprise possible de la passation et l'éventuelle voie de recours.</w:t>
      </w:r>
    </w:p>
    <w:p>
      <w:pPr>
        <w:pStyle w:val="Intertitre"/>
      </w:pPr>
      <w:r>
        <w:t xml:space="preserve">À MONSIEUR OU MADAME LE PRÉSIDENT DU TRIBUNAL ADMINISTRATIF</w:t>
      </w:r>
    </w:p>
    <w:p>
      <w:pPr>
        <w:pStyle w:val="Corps"/>
      </w:pPr>
      <w:r>
        <w:t xml:space="preserve">La juridiction saisie est [Tribunal administratif compétent] ; sa compétence résulte de [Fondement territorial de compétence] et de la procédure [Référence de la consultation]. La requête expose le lieu d'exécution, le siège de l'autorité contractante et tout critère spécial de compétence ressortant des pièces, sans déduire la juridiction d'une adresse non confirmée.</w:t>
      </w:r>
    </w:p>
    <w:p>
      <w:pPr>
        <w:pStyle w:val="Intertitre"/>
      </w:pPr>
      <w:r>
        <w:t xml:space="preserve">Clause optionnelle : QUALIFICATION ADMINISTRATIVE DU CONTRAT CONTRÔLÉE</w:t>
      </w:r>
    </w:p>
    <w:p>
      <w:pPr>
        <w:pStyle w:val="Corps"/>
      </w:pPr>
      <w:r>
        <w:t xml:space="preserve">Le caractère administratif du contrat et le rattachement du litige au juge administratif sont établis par [Qualification administrative du contrat]. Cette qualification est motivée à partir de l'objet du contrat, de l'identité de l'acheteur et du régime de passation applicable ; elle ne résulte pas de la seule dénomination donnée par les parties.</w:t>
      </w:r>
    </w:p>
    <w:p>
      <w:pPr>
        <w:pStyle w:val="Intertitre"/>
      </w:pPr>
      <w:r>
        <w:t xml:space="preserve">La procédure est-elle conduite par un pouvoir adjudicateur ou une entité adjudicatrice ? — choisir une seule variante</w:t>
      </w:r>
    </w:p>
    <w:p>
      <w:pPr>
        <w:pStyle w:val="Variante"/>
      </w:pPr>
      <w:r>
        <w:t xml:space="preserve">Variante : CONTRAT PASSÉ PAR UN POUVOIR ADJUDICATEUR</w:t>
      </w:r>
    </w:p>
    <w:p>
      <w:pPr>
        <w:pStyle w:val="Corps"/>
      </w:pPr>
      <w:r>
        <w:t xml:space="preserve">La procédure est conduite par [Identité de l'acheteur ou de l'entité adjudicatrice], en qualité de pouvoir adjudicateur, selon les éléments de compétence [Représentant de l'acheteur]. Les écritures précisent l'acte ou le texte établissant cette qualité, l'organe compétent pour conduire la procédure et l'identité de la personne habilitée à recevoir la notification du recours.</w:t>
      </w:r>
    </w:p>
    <w:p>
      <w:pPr>
        <w:pStyle w:val="Variante"/>
      </w:pPr>
      <w:r>
        <w:t xml:space="preserve">Variante : CONTRAT PASSÉ PAR UNE ENTITÉ ADJUDICATRICE</w:t>
      </w:r>
    </w:p>
    <w:p>
      <w:pPr>
        <w:pStyle w:val="Corps"/>
      </w:pPr>
      <w:r>
        <w:t xml:space="preserve">La procédure est conduite par [Identité de l'acheteur ou de l'entité adjudicatrice], en qualité d'entité adjudicatrice, selon les éléments de compétence [Représentant de l'acheteur]. L'activité de réseau concernée et le fondement de cette qualification sont exposés séparément, car l'office du juge et les mesures susceptibles d'être demandées ne sont pas identiques à ceux du pouvoir adjudicateur.</w:t>
      </w:r>
    </w:p>
    <w:p>
      <w:pPr>
        <w:pStyle w:val="Intertitre"/>
      </w:pPr>
      <w:r>
        <w:t xml:space="preserve">Le marché relève-t-il du secteur de la défense ou de la sécurité ? — choisir une seule variante</w:t>
      </w:r>
    </w:p>
    <w:p>
      <w:pPr>
        <w:pStyle w:val="Variante"/>
      </w:pPr>
      <w:r>
        <w:t xml:space="preserve">Variante : CONTRAT HORS DÉFENSE OU SÉCURITÉ</w:t>
      </w:r>
    </w:p>
    <w:p>
      <w:pPr>
        <w:pStyle w:val="Corps"/>
      </w:pPr>
      <w:r>
        <w:t xml:space="preserve">Le contrat [Référence de la consultation] relève de l'office ordinaire du juge tel qu'il résulte des pièces de la consultation. Aucun élément du dossier ne permet de rattacher la consultation aux marchés de défense ou de sécurité ; les demandes sont donc articulées avec les pouvoirs correspondant à l'autorité contractante identifiée.</w:t>
      </w:r>
    </w:p>
    <w:p>
      <w:pPr>
        <w:pStyle w:val="Variante"/>
      </w:pPr>
      <w:r>
        <w:t xml:space="preserve">Variante : MARCHÉ DE DÉFENSE OU DE SÉCURITÉ</w:t>
      </w:r>
    </w:p>
    <w:p>
      <w:pPr>
        <w:pStyle w:val="Corps"/>
      </w:pPr>
      <w:r>
        <w:t xml:space="preserve">La qualification du marché [Référence de la consultation] comme marché de défense ou de sécurité est établie par les pièces ; les mesures sollicitées sont limitées à l'office applicable. La requête indique la catégorie exacte retenue et la pièce qui l'établit, puis écarte du dispositif toute mesure étrangère aux injonctions, suspensions et astreintes autorisées pour ce régime.</w:t>
      </w:r>
    </w:p>
    <w:p>
      <w:pPr>
        <w:pStyle w:val="Intertitre"/>
      </w:pPr>
      <w:r>
        <w:t xml:space="preserve">Quelle est la nature du requérant ? — choisir une seule variante</w:t>
      </w:r>
    </w:p>
    <w:p>
      <w:pPr>
        <w:pStyle w:val="Variante"/>
      </w:pPr>
      <w:r>
        <w:t xml:space="preserve">Variante : REQUÉRANT — PERSONNE PHYSIQUE</w:t>
      </w:r>
    </w:p>
    <w:p>
      <w:pPr>
        <w:pStyle w:val="Corps"/>
      </w:pPr>
      <w:r>
        <w:t xml:space="preserve">Le requérant est [Identité du requérant], domicilié [Adresse ou siège du requérant] ; sa qualité procédurale est développée dans la section consacrée à la recevabilité. Ses nom, prénoms, adresse et qualité pour agir sont reproduits d'une pièce fiable ; aucune profession, nationalité ou qualité commerciale n'est ajoutée lorsqu'elle n'est pas utile à la recevabilité.</w:t>
      </w:r>
    </w:p>
    <w:p>
      <w:pPr>
        <w:pStyle w:val="Variante"/>
      </w:pPr>
      <w:r>
        <w:t xml:space="preserve">Variante : REQUÉRANT — PERSONNE MORALE</w:t>
      </w:r>
    </w:p>
    <w:p>
      <w:pPr>
        <w:pStyle w:val="Corps"/>
      </w:pPr>
      <w:r>
        <w:t xml:space="preserve">Le requérant est [Identité du requérant], ayant son siège [Adresse ou siège du requérant], représenté par [Représentant du requérant] selon un pouvoir contrôlé. Sa forme, son siège, son numéro d'immatriculation et le pouvoir du représentant sont rapprochés d'un extrait ou d'un acte à jour, sans confondre identité sociale et enseigne commerciale.</w:t>
      </w:r>
    </w:p>
    <w:p>
      <w:pPr>
        <w:pStyle w:val="Variante"/>
      </w:pPr>
      <w:r>
        <w:t xml:space="preserve">Variante : REQUÉRANT — PERSONNE PUBLIQUE</w:t>
      </w:r>
    </w:p>
    <w:p>
      <w:pPr>
        <w:pStyle w:val="Corps"/>
      </w:pPr>
      <w:r>
        <w:t xml:space="preserve">Le requérant est [Identité du requérant], représenté par [Représentant du requérant] dans la qualité et selon l'habilitation établies par les pièces de saisine. La personne publique requérante précise l'organe au nom duquel elle agit, la décision ou délégation habilitante et la qualité du signataire, chacune étant rattachée à une pièce citée.</w:t>
      </w:r>
    </w:p>
    <w:p>
      <w:pPr>
        <w:pStyle w:val="Intertitre"/>
      </w:pPr>
      <w:r>
        <w:t xml:space="preserve">Clause optionnelle : PLURALITÉ DE REQUÉRANTS</w:t>
      </w:r>
    </w:p>
    <w:p>
      <w:pPr>
        <w:pStyle w:val="Corps"/>
      </w:pPr>
      <w:r>
        <w:t xml:space="preserve">Les identités, qualités, intérêts et demandes propres de chaque requérant sont exposés dans [Pluralité de requérants]. Pour chacun sont distingués l'intérêt à conclure, la participation ou l'empêchement allégué, les manquements susceptibles de l'avoir lésé et les conclusions qu'il soutient personnellement.</w:t>
      </w:r>
    </w:p>
    <w:p>
      <w:pPr>
        <w:pStyle w:val="Intertitre"/>
      </w:pPr>
      <w:r>
        <w:t xml:space="preserve">Le requérant agit-il seul ou par avocat ? — choisir une seule variante</w:t>
      </w:r>
    </w:p>
    <w:p>
      <w:pPr>
        <w:pStyle w:val="Variante"/>
      </w:pPr>
      <w:r>
        <w:t xml:space="preserve">Variante : REQUÉRANT AGISSANT SANS AVOCAT</w:t>
      </w:r>
    </w:p>
    <w:p>
      <w:pPr>
        <w:pStyle w:val="Corps"/>
      </w:pPr>
      <w:r>
        <w:t xml:space="preserve">Le requérant agit et signe par [Signataire de la requête] ; la faculté de présenter la requête sans avocat est contrôlée pour le dossier. La requête conserve les coordonnées nécessaires aux échanges avec la juridiction et identifie le signataire réel ; elle n'attribue ni mandat ni qualité d'avocat à une personne qui n'en justifie pas.</w:t>
      </w:r>
    </w:p>
    <w:p>
      <w:pPr>
        <w:pStyle w:val="Variante"/>
      </w:pPr>
      <w:r>
        <w:t xml:space="preserve">Variante : REQUÉRANT REPRÉSENTÉ PAR AVOCAT</w:t>
      </w:r>
    </w:p>
    <w:p>
      <w:pPr>
        <w:pStyle w:val="Corps"/>
      </w:pPr>
      <w:r>
        <w:t xml:space="preserve">Le requérant est représenté par [Avocat du requérant], qui signe et dépose la requête dans la qualité procédurale contrôlée. Le nom, la structure d'exercice, l'adresse professionnelle et, lorsque nécessaire, le mandat sont reproduits des pièces, tandis que la signature et le dépôt restent attribués à leur auteur effectif.</w:t>
      </w:r>
    </w:p>
    <w:p>
      <w:pPr>
        <w:pStyle w:val="Intertitre"/>
      </w:pPr>
      <w:r>
        <w:t xml:space="preserve">ACHETEUR DÉFENDEUR</w:t>
      </w:r>
    </w:p>
    <w:p>
      <w:pPr>
        <w:pStyle w:val="Corps"/>
      </w:pPr>
      <w:r>
        <w:t xml:space="preserve">La procédure est conduite par [Identité de l'acheteur ou de l'entité adjudicatrice], représenté par [Représentant de l'acheteur] ; la requête lui est notifiée selon la voie applicable. Sont également précisés son statut, son adresse de notification, la procédure qu'il conduit et, si les pièces le permettent, le service chargé de la consultation, afin d'éviter toute erreur de destinataire.</w:t>
      </w:r>
    </w:p>
    <w:p>
      <w:pPr>
        <w:pStyle w:val="Intertitre"/>
      </w:pPr>
      <w:r>
        <w:t xml:space="preserve">Clause optionnelle : ATTRIBUTAIRE PRESSENTI</w:t>
      </w:r>
    </w:p>
    <w:p>
      <w:pPr>
        <w:pStyle w:val="Corps"/>
      </w:pPr>
      <w:r>
        <w:t xml:space="preserve">L'attributaire pressenti est [Identité de l'attributaire pressenti] selon [Informations sur l'attribution] ; cette désignation ne préjuge pas des mesures que le juge peut ordonner. Lorsque son identité ou la décision d'attribution n'a pas été régulièrement communiquée, le texte le dit expressément et limite les développements aux informations objectivement disponibles avant signature.</w:t>
      </w:r>
    </w:p>
    <w:p>
      <w:pPr>
        <w:pStyle w:val="Intertitre"/>
      </w:pPr>
      <w:r>
        <w:t xml:space="preserve">Sur quelle qualité repose la saisine ? — choisir une seule variante</w:t>
      </w:r>
    </w:p>
    <w:p>
      <w:pPr>
        <w:pStyle w:val="Variante"/>
      </w:pPr>
      <w:r>
        <w:t xml:space="preserve">Variante : CANDIDAT OU SOUMISSIONNAIRE ÉVINCÉ</w:t>
      </w:r>
    </w:p>
    <w:p>
      <w:pPr>
        <w:pStyle w:val="Corps"/>
      </w:pPr>
      <w:r>
        <w:t xml:space="preserve">La participation du requérant est établie par [Candidature du requérant] et, le cas échéant, [Offre du requérant] ; son intérêt à conclure est [Intérêt à conclure le contrat]. La requête distingue la date de candidature, le lot concerné, l'admission aux différentes phases et le rejet final, puis rattache chaque manquement invoqué à la chance de concourir ou d'être retenu.</w:t>
      </w:r>
    </w:p>
    <w:p>
      <w:pPr>
        <w:pStyle w:val="Variante"/>
      </w:pPr>
      <w:r>
        <w:t xml:space="preserve">Variante : OPÉRATEUR EMPÊCHÉ DE CANDIDATER</w:t>
      </w:r>
    </w:p>
    <w:p>
      <w:pPr>
        <w:pStyle w:val="Corps"/>
      </w:pPr>
      <w:r>
        <w:t xml:space="preserve">Le requérant établit par [Raisons ayant empêché la candidature] qu'un manquement invoqué l'a empêché de présenter utilement une candidature ou une offre. Elle décrit l'obstacle précis, la règle de consultation ou la publicité en cause, la période pendant laquelle l'opérateur aurait pu candidater et les éléments concrets établissant son intérêt pour le contrat.</w:t>
      </w:r>
    </w:p>
    <w:p>
      <w:pPr>
        <w:pStyle w:val="Variante"/>
      </w:pPr>
      <w:r>
        <w:t xml:space="preserve">Variante : RECOURS DU REPRÉSENTANT DE L'ÉTAT</w:t>
      </w:r>
    </w:p>
    <w:p>
      <w:pPr>
        <w:pStyle w:val="Corps"/>
      </w:pPr>
      <w:r>
        <w:t xml:space="preserve">La qualité pour saisir le juge et le rattachement local du contrat sont établis par [Qualité du représentant de l'État]. Le texte identifie l'autorité préfectorale compétente, la personne publique dont relève le contrat et la disposition ouvrant la saisine, sans lui appliquer artificiellement les conditions propres à un candidat évincé.</w:t>
      </w:r>
    </w:p>
    <w:p>
      <w:pPr>
        <w:pStyle w:val="Variante"/>
      </w:pPr>
      <w:r>
        <w:t xml:space="preserve">Variante : RECOURS DE L'ÉTAT APRÈS NOTIFICATION EUROPÉENNE</w:t>
      </w:r>
    </w:p>
    <w:p>
      <w:pPr>
        <w:pStyle w:val="Corps"/>
      </w:pPr>
      <w:r>
        <w:t xml:space="preserve">La notification et les raisons communiquées par la Commission européenne sont établies par [Notification de la Commission européenne]. La requête reproduit la date, l'objet et les motifs de la notification européenne ainsi que l'autorité de l'État qui agit, tout en séparant cette qualité spéciale des recours formés par les opérateurs économiques.</w:t>
      </w:r>
    </w:p>
    <w:p>
      <w:pPr>
        <w:pStyle w:val="Intertitre"/>
      </w:pPr>
      <w:r>
        <w:t xml:space="preserve">Clause optionnelle : INTÉRÊT À CONCLURE LE CONTRAT ÉTABLI</w:t>
      </w:r>
    </w:p>
    <w:p>
      <w:pPr>
        <w:pStyle w:val="Corps"/>
      </w:pPr>
      <w:r>
        <w:t xml:space="preserve">L'intérêt du requérant à conclure le contrat résulte de [Intérêt à conclure le contrat] et des pièces de participation ou d'empêchement identifiées. Cet intérêt est décrit concrètement au regard de l'activité du requérant, du lot et de la procédure concernés ; il ne se déduit ni d'une affirmation générale ni de la seule critique de l'acheteur.</w:t>
      </w:r>
    </w:p>
    <w:p>
      <w:pPr>
        <w:pStyle w:val="Intertitre"/>
      </w:pPr>
      <w:r>
        <w:t xml:space="preserve">Clause optionnelle : LÉSION SUSCEPTIBLE ÉTABLIE</w:t>
      </w:r>
    </w:p>
    <w:p>
      <w:pPr>
        <w:pStyle w:val="Corps"/>
      </w:pPr>
      <w:r>
        <w:t xml:space="preserve">La portée du manquement, le stade auquel il se rapporte et son incidence susceptible sont exposés dans [Lien entre le manquement et la lésion susceptible] et [Incidence du stade de la procédure]. Pour chaque moyen, la requête explique comment l'irrégularité a pu affecter l'accès à la procédure, la préparation de l'offre, son appréciation ou son classement, sans exiger la preuve d'une perte certaine du marché.</w:t>
      </w:r>
    </w:p>
    <w:p>
      <w:pPr>
        <w:pStyle w:val="Intertitre"/>
      </w:pPr>
      <w:r>
        <w:t xml:space="preserve">Quel est l'objet principal du marché ? — choisir une seule variante</w:t>
      </w:r>
    </w:p>
    <w:p>
      <w:pPr>
        <w:pStyle w:val="Variante"/>
      </w:pPr>
      <w:r>
        <w:t xml:space="preserve">Variante : MARCHÉ DE TRAVAUX</w:t>
      </w:r>
    </w:p>
    <w:p>
      <w:pPr>
        <w:pStyle w:val="Corps"/>
      </w:pPr>
      <w:r>
        <w:t xml:space="preserve">La consultation [Référence de la consultation] concerne les travaux décrits par [Objet de la consultation] pour les lots [Lots concernés]. Leur nature, leur étendue, leur lieu principal d'exécution, l'allotissement et la tranche contestée sont identifiés afin que les moyens restent attachés à la consultation réellement litigieuse.</w:t>
      </w:r>
    </w:p>
    <w:p>
      <w:pPr>
        <w:pStyle w:val="Variante"/>
      </w:pPr>
      <w:r>
        <w:t xml:space="preserve">Variante : MARCHÉ DE FOURNITURES</w:t>
      </w:r>
    </w:p>
    <w:p>
      <w:pPr>
        <w:pStyle w:val="Corps"/>
      </w:pPr>
      <w:r>
        <w:t xml:space="preserve">Sous la référence [Référence de la consultation], l'acheteur recherche les fournitures définies par [Objet de la consultation] dans les lots [Lots concernés]. Leur destination et les prestations accessoires sont distinguées, notamment lorsque la qualification retenue commande l'analyse des documents et critères applicables.</w:t>
      </w:r>
    </w:p>
    <w:p>
      <w:pPr>
        <w:pStyle w:val="Variante"/>
      </w:pPr>
      <w:r>
        <w:t xml:space="preserve">Variante : MARCHÉ DE SERVICES</w:t>
      </w:r>
    </w:p>
    <w:p>
      <w:pPr>
        <w:pStyle w:val="Corps"/>
      </w:pPr>
      <w:r>
        <w:t xml:space="preserve">Le marché [Référence de la consultation] porte sur les services correspondant à [Objet de la consultation] au sein des lots [Lots concernés]. Leur périmètre, leur durée annoncée et le lot contesté sont exposés à partir de l'avis et du dossier de consultation, sans reconstituer une prestation absente des pièces.</w:t>
      </w:r>
    </w:p>
    <w:p>
      <w:pPr>
        <w:pStyle w:val="Variante"/>
      </w:pPr>
      <w:r>
        <w:t xml:space="preserve">Variante : MARCHÉ MIXTE QUALIFIÉ</w:t>
      </w:r>
    </w:p>
    <w:p>
      <w:pPr>
        <w:pStyle w:val="Corps"/>
      </w:pPr>
      <w:r>
        <w:t xml:space="preserve">L'objet, la composante principale et le régime retenu pour la consultation [Référence de la consultation] sont exposés dans [Objet de la consultation]. Les différentes composantes sont isolées, puis la composante principale et ses conséquences procédurales sont justifiées à partir de la valeur, de l'objet et de l'économie du marché.</w:t>
      </w:r>
    </w:p>
    <w:p>
      <w:pPr>
        <w:pStyle w:val="Intertitre"/>
      </w:pPr>
      <w:r>
        <w:t xml:space="preserve">Quelle procédure de passation est contrôlée ? — choisir une seule variante</w:t>
      </w:r>
    </w:p>
    <w:p>
      <w:pPr>
        <w:pStyle w:val="Variante"/>
      </w:pPr>
      <w:r>
        <w:t xml:space="preserve">Variante : APPEL D'OFFRES OUVERT</w:t>
      </w:r>
    </w:p>
    <w:p>
      <w:pPr>
        <w:pStyle w:val="Corps"/>
      </w:pPr>
      <w:r>
        <w:t xml:space="preserve">La procédure, son calendrier et ses étapes résultent de [Procédure de passation] et [Calendrier de passation]. L'avis, la date limite, les questions-réponses, le dépôt, l'analyse, le rejet et l'information sur l'attribution sont replacés dans leur ordre afin de situer exactement chaque manquement allégué.</w:t>
      </w:r>
    </w:p>
    <w:p>
      <w:pPr>
        <w:pStyle w:val="Variante"/>
      </w:pPr>
      <w:r>
        <w:t xml:space="preserve">Variante : APPEL D'OFFRES RESTREINT</w:t>
      </w:r>
    </w:p>
    <w:p>
      <w:pPr>
        <w:pStyle w:val="Corps"/>
      </w:pPr>
      <w:r>
        <w:t xml:space="preserve">Les phases de candidature puis d'offre sont distinguées dans [Procédure de passation] et [Calendrier de passation]. Le nombre de candidats admis, les critères de sélection des candidatures, l'invitation à soumissionner et l'analyse des offres sont traités comme des étapes distinctes avec leurs pièces propres.</w:t>
      </w:r>
    </w:p>
    <w:p>
      <w:pPr>
        <w:pStyle w:val="Variante"/>
      </w:pPr>
      <w:r>
        <w:t xml:space="preserve">Variante : PROCÉDURE AVEC NÉGOCIATION</w:t>
      </w:r>
    </w:p>
    <w:p>
      <w:pPr>
        <w:pStyle w:val="Corps"/>
      </w:pPr>
      <w:r>
        <w:t xml:space="preserve">Le fondement, les invitations, les tours de négociation et la traçabilité sont exposés dans [Procédure de passation] et [Calendrier de passation]. Les candidats admis, les éléments effectivement négociables, les informations communiquées à chaque tour et la clôture des négociations sont comparés pour établir une éventuelle rupture d'égalité ou de transparence.</w:t>
      </w:r>
    </w:p>
    <w:p>
      <w:pPr>
        <w:pStyle w:val="Variante"/>
      </w:pPr>
      <w:r>
        <w:t xml:space="preserve">Variante : DIALOGUE COMPÉTITIF</w:t>
      </w:r>
    </w:p>
    <w:p>
      <w:pPr>
        <w:pStyle w:val="Corps"/>
      </w:pPr>
      <w:r>
        <w:t xml:space="preserve">Les phases du dialogue, l'égalité d'information et le dépôt des offres finales sont exposés dans [Procédure de passation] et [Calendrier de passation]. Les solutions discutées, les informations protégées, les invitations successives et les conditions de remise des offres finales sont ordonnées chronologiquement pour apprécier l'égalité de traitement pendant le dialogue.</w:t>
      </w:r>
    </w:p>
    <w:p>
      <w:pPr>
        <w:pStyle w:val="Variante"/>
      </w:pPr>
      <w:r>
        <w:t xml:space="preserve">Variante : PROCÉDURE ADAPTÉE</w:t>
      </w:r>
    </w:p>
    <w:p>
      <w:pPr>
        <w:pStyle w:val="Corps"/>
      </w:pPr>
      <w:r>
        <w:t xml:space="preserve">Les modalités librement déterminées et effectivement annoncées sont établies par [Procédure de passation] et [Documents de la consultation]. La requête confronte les modalités annoncées aux modalités effectivement suivies, en tenant compte de l'objet, de la valeur et des caractéristiques de l'achat sans appliquer mécaniquement une procédure formalisée.</w:t>
      </w:r>
    </w:p>
    <w:p>
      <w:pPr>
        <w:pStyle w:val="Intertitre"/>
      </w:pPr>
      <w:r>
        <w:t xml:space="preserve">DOCUMENTS ET CHRONOLOGIE DE LA CONSULTATION</w:t>
      </w:r>
    </w:p>
    <w:p>
      <w:pPr>
        <w:pStyle w:val="Corps"/>
      </w:pPr>
      <w:r>
        <w:t xml:space="preserve">Les documents applicables sont [Documents de la consultation] ; la chronologie complète est [Chronologie de la passation] et la publicité est établie par [Publicité et preuve de publication]. Chaque version du règlement, du cahier des charges et des réponses de l'acheteur est datée ; les rectifications sont reliées aux délais laissés aux candidats et aux documents réellement accessibles.</w:t>
      </w:r>
    </w:p>
    <w:p>
      <w:pPr>
        <w:pStyle w:val="Intertitre"/>
      </w:pPr>
      <w:r>
        <w:t xml:space="preserve">Clause optionnelle : CANDIDATURE ET OFFRE DU REQUÉRANT</w:t>
      </w:r>
    </w:p>
    <w:p>
      <w:pPr>
        <w:pStyle w:val="Corps"/>
      </w:pPr>
      <w:r>
        <w:t xml:space="preserve">La candidature et l'offre sont identifiées par [Candidature du requérant] et [Offre du requérant] sans substituer une appréciation aux pièces déposées. Le contenu utile est décrit sans révéler davantage de secrets d'affaires que nécessaire ; les dates, accusés de réception et versions permettent toutefois de déterminer ce que l'acheteur pouvait régulièrement examiner.</w:t>
      </w:r>
    </w:p>
    <w:p>
      <w:pPr>
        <w:pStyle w:val="Intertitre"/>
      </w:pPr>
      <w:r>
        <w:t xml:space="preserve">Clause optionnelle : EMPÊCHEMENT DE CANDIDATER</w:t>
      </w:r>
    </w:p>
    <w:p>
      <w:pPr>
        <w:pStyle w:val="Corps"/>
      </w:pPr>
      <w:r>
        <w:t xml:space="preserve">Les modalités de la consultation, le manquement invoqué et la manière dont ils ont empêché une participation utile sont établis par [Raisons ayant empêché la candidature]. La démonstration précise les diligences accomplies pour prendre connaissance de la consultation, les informations indisponibles ou dissuasives et le lien entre cet obstacle et l'absence de candidature utile.</w:t>
      </w:r>
    </w:p>
    <w:p>
      <w:pPr>
        <w:pStyle w:val="Intertitre"/>
      </w:pPr>
      <w:r>
        <w:t xml:space="preserve">Clause optionnelle : REJET ET ATTRIBUTION</w:t>
      </w:r>
    </w:p>
    <w:p>
      <w:pPr>
        <w:pStyle w:val="Corps"/>
      </w:pPr>
      <w:r>
        <w:t xml:space="preserve">Le rejet est établi par [Notification de rejet] ; les informations d'attribution et de signature disponibles sont [Informations sur l'attribution] et [Preuve de l'absence de signature]. La date de réception, les motifs communiqués, le classement, les caractéristiques de l'offre retenue et la date de signature annoncée sont distingués, avec mention expresse des informations encore refusées ou inconnues.</w:t>
      </w:r>
    </w:p>
    <w:p>
      <w:pPr>
        <w:pStyle w:val="Intertitre"/>
      </w:pPr>
      <w:r>
        <w:t xml:space="preserve">Clause optionnelle : SAISINE PAR L'ÉTAT</w:t>
      </w:r>
    </w:p>
    <w:p>
      <w:pPr>
        <w:pStyle w:val="Corps"/>
      </w:pPr>
      <w:r>
        <w:t xml:space="preserve">La qualité de l'auteur du recours, le contrat concerné, le manquement signalé et les pièces de saisine sont exposés dans [Contrôle du dossier de consultation]. Le développement ne transpose pas artificiellement l'intérêt à conclure ou la lésion d'un candidat ; il expose la qualité spéciale de l'État, la procédure visée et le manquement objectivement signalé.</w:t>
      </w:r>
    </w:p>
    <w:p>
      <w:pPr>
        <w:pStyle w:val="Intertitre"/>
      </w:pPr>
      <w:r>
        <w:t xml:space="preserve">MATRICE DES FAITS, MANQUEMENTS ET PIÈCES</w:t>
      </w:r>
    </w:p>
    <w:p>
      <w:pPr>
        <w:pStyle w:val="Corps"/>
      </w:pPr>
      <w:r>
        <w:t xml:space="preserve">La concordance entre chaque fait, obligation, manquement, lésion alléguée et pièce est exposée dans [Matrice faits, manquements et pièces]. Pour chaque manquement, la matrice identifie l'obligation applicable, le fait invoqué, la pièce, le stade de la passation, la lésion susceptible et la mesure demandée. Elle distingue les arguments principaux et subsidiaires afin de rendre contrôlable leur enchaînement jusqu'au dispositif. Les numéros et intitulés de pièces restent identiques dans le corps de la requête, le bordereau et les demandes. Toute pièce manquante ou contestée est signalée comme telle, sans être remplacée par une déduction.</w:t>
      </w:r>
    </w:p>
    <w:p>
      <w:pPr>
        <w:pStyle w:val="Intertitre"/>
      </w:pPr>
      <w:r>
        <w:t xml:space="preserve">Clause optionnelle : DOSSIER DE PASSATION CONTRÔLÉ</w:t>
      </w:r>
    </w:p>
    <w:p>
      <w:pPr>
        <w:pStyle w:val="Corps"/>
      </w:pPr>
      <w:r>
        <w:t xml:space="preserve">Les avis, documents de consultation, échanges, candidatures, offres, décisions et notifications utiles sont recensés dans [Contrôle du dossier de consultation]. Le recensement précise pour chaque document son auteur, sa date, sa version et sa fonction probatoire ; les pièces non obtenues sont distinguées des documents dont le contenu est seulement allégué.</w:t>
      </w:r>
    </w:p>
    <w:p>
      <w:pPr>
        <w:pStyle w:val="Intertitre"/>
      </w:pPr>
      <w:r>
        <w:t xml:space="preserve">Clause optionnelle : SAISINE AVANT LA CONCLUSION DU CONTRAT</w:t>
      </w:r>
    </w:p>
    <w:p>
      <w:pPr>
        <w:pStyle w:val="Corps"/>
      </w:pPr>
      <w:r>
        <w:t xml:space="preserve">L'absence de conclusion du contrat est établie par [Preuve de l'absence de signature] ; la voie précontractuelle demeure matériellement ouverte. La requête précise la dernière information disponible, sa date et sa source, ainsi que la date de signature annoncée lorsqu'elle est connue ; elle sollicite une mesure utile avant que la voie ne se ferme.</w:t>
      </w:r>
    </w:p>
    <w:p>
      <w:pPr>
        <w:pStyle w:val="Intertitre"/>
      </w:pPr>
      <w:r>
        <w:t xml:space="preserve">Clause optionnelle : PUBLICITÉ INSUFFISANTE OU IRRÉGULIÈRE</w:t>
      </w:r>
    </w:p>
    <w:p>
      <w:pPr>
        <w:pStyle w:val="Corps"/>
      </w:pPr>
      <w:r>
        <w:t xml:space="preserve">La publicité critiquée est décrite dans [Manquement de publicité]. La requête identifie le support, les mentions absentes ou erronées, la période de publication et le public effectivement atteint, puis explique au moyen de [Lien entre le manquement et la lésion susceptible] comment cette irrégularité a pu restreindre l'accès du requérant à la procédure.</w:t>
      </w:r>
    </w:p>
    <w:p>
      <w:pPr>
        <w:pStyle w:val="Intertitre"/>
      </w:pPr>
      <w:r>
        <w:t xml:space="preserve">Clause optionnelle : ACCÈS INÉGAL AUX DOCUMENTS DE LA CONSULTATION</w:t>
      </w:r>
    </w:p>
    <w:p>
      <w:pPr>
        <w:pStyle w:val="Corps"/>
      </w:pPr>
      <w:r>
        <w:t xml:space="preserve">L'inégalité d'accès exposée dans [Manquement d'accès aux documents] résulte de la comparaison des dates, versions et conditions accordées aux opérateurs. L'information reçue tardivement ou incomplètement est identifiée, et [Lien entre le manquement et la lésion susceptible] en précise l'incidence possible sur la préparation d'une candidature ou d'une offre concurrentielle.</w:t>
      </w:r>
    </w:p>
    <w:p>
      <w:pPr>
        <w:pStyle w:val="Intertitre"/>
      </w:pPr>
      <w:r>
        <w:t xml:space="preserve">Clause optionnelle : DÉFINITION DU BESOIN CONTESTÉE</w:t>
      </w:r>
    </w:p>
    <w:p>
      <w:pPr>
        <w:pStyle w:val="Corps"/>
      </w:pPr>
      <w:r>
        <w:t xml:space="preserve">La contestation du besoin figure dans [Définition irrégulière du besoin]. Le besoin annoncé est confronté à l'objet réellement évalué, aux quantités, au périmètre et aux modifications intervenues ; [Lien entre le manquement et la lésion susceptible] précise l'ambiguïté concrète et son incidence possible sur la réponse du requérant.</w:t>
      </w:r>
    </w:p>
    <w:p>
      <w:pPr>
        <w:pStyle w:val="Intertitre"/>
      </w:pPr>
      <w:r>
        <w:t xml:space="preserve">Clause optionnelle : PRESCRIPTION TECHNIQUE DISCRIMINATOIRE OU DISPROPORTIONNÉE</w:t>
      </w:r>
    </w:p>
    <w:p>
      <w:pPr>
        <w:pStyle w:val="Corps"/>
      </w:pPr>
      <w:r>
        <w:t xml:space="preserve">La prescription technique en cause est reproduite dans [Prescription technique irrégulière] avec sa référence, son effet restrictif et l'objectif invoqué par l'acheteur. L'analyse [Lien entre le manquement et la lésion susceptible] expose pourquoi cet effet paraît sans rapport suffisant ou disproportionné au besoin et comment il a pu affecter le requérant.</w:t>
      </w:r>
    </w:p>
    <w:p>
      <w:pPr>
        <w:pStyle w:val="Intertitre"/>
      </w:pPr>
      <w:r>
        <w:t xml:space="preserve">Clause optionnelle : SÉLECTION IRRÉGULIÈRE DES CANDIDATURES</w:t>
      </w:r>
    </w:p>
    <w:p>
      <w:pPr>
        <w:pStyle w:val="Corps"/>
      </w:pPr>
      <w:r>
        <w:t xml:space="preserve">L'irrégularité de sélection est exposée dans [Irrégularité de sélection des candidatures]. Les capacités et critères annoncés sont comparés aux motifs effectivement retenus pour admettre ou écarter les candidatures, en isolant l'exigence contestée ; [Lien entre le manquement et la lésion susceptible] en rattache les effets à la participation du requérant.</w:t>
      </w:r>
    </w:p>
    <w:p>
      <w:pPr>
        <w:pStyle w:val="Intertitre"/>
      </w:pPr>
      <w:r>
        <w:t xml:space="preserve">Clause optionnelle : ADMISSION OU EXCLUSION IRRÉGULIÈRE</w:t>
      </w:r>
    </w:p>
    <w:p>
      <w:pPr>
        <w:pStyle w:val="Corps"/>
      </w:pPr>
      <w:r>
        <w:t xml:space="preserve">Le grief d'admission ou d'exclusion est détaillé dans [Exclusion ou admission irrégulière]. Son fondement, les demandes de régularisation et les réponses apportées sont retracés afin d'établir si des situations comparables ont reçu un traitement différent et [Lien entre le manquement et la lésion susceptible] en expose l'incidence susceptible.</w:t>
      </w:r>
    </w:p>
    <w:p>
      <w:pPr>
        <w:pStyle w:val="Intertitre"/>
      </w:pPr>
      <w:r>
        <w:t xml:space="preserve">Clause optionnelle : INFORMATION INSUFFISANTE SUR LES CRITÈRES</w:t>
      </w:r>
    </w:p>
    <w:p>
      <w:pPr>
        <w:pStyle w:val="Corps"/>
      </w:pPr>
      <w:r>
        <w:t xml:space="preserve">Le défaut d'information est décrit dans [Information irrégulière sur les critères]. La requête précise quand et dans quel document les critères, sous-critères ou méthodes déterminantes ont été portés à connaissance, les rapproche des éléments réellement utilisés et consigne dans [Lien entre le manquement et la lésion susceptible] leur effet possible sur le requérant.</w:t>
      </w:r>
    </w:p>
    <w:p>
      <w:pPr>
        <w:pStyle w:val="Intertitre"/>
      </w:pPr>
      <w:r>
        <w:t xml:space="preserve">Clause optionnelle : APPLICATION IRRÉGULIÈRE DES CRITÈRES</w:t>
      </w:r>
    </w:p>
    <w:p>
      <w:pPr>
        <w:pStyle w:val="Corps"/>
      </w:pPr>
      <w:r>
        <w:t xml:space="preserve">L'application contestée des critères ressort de [Application irrégulière des critères]. Pour chacun, la règle annoncée, l'appréciation portée sur l'offre, la comparaison disponible et l'écart allégué sont distingués, sans substituer une nouvelle notation à celle de l'acheteur ; [Lien entre le manquement et la lésion susceptible] établit l'incidence susceptible.</w:t>
      </w:r>
    </w:p>
    <w:p>
      <w:pPr>
        <w:pStyle w:val="Intertitre"/>
      </w:pPr>
      <w:r>
        <w:t xml:space="preserve">Clause optionnelle : NOTATION OU CLASSEMENT CONTESTÉ</w:t>
      </w:r>
    </w:p>
    <w:p>
      <w:pPr>
        <w:pStyle w:val="Corps"/>
      </w:pPr>
      <w:r>
        <w:t xml:space="preserve">L'anomalie de notation ou de classement est étayée par [Erreur dans la notation ou le classement]. Les notes, pondérations, commentaires et incohérences arithmétiques éventuelles sont reproduits fidèlement, tandis que [Lien entre le manquement et la lésion susceptible] rattache le moyen au respect de la mise en concurrence plutôt qu'à la seule déception du requérant.</w:t>
      </w:r>
    </w:p>
    <w:p>
      <w:pPr>
        <w:pStyle w:val="Intertitre"/>
      </w:pPr>
      <w:r>
        <w:t xml:space="preserve">Clause optionnelle : RUPTURE D'ÉGALITÉ DE TRAITEMENT</w:t>
      </w:r>
    </w:p>
    <w:p>
      <w:pPr>
        <w:pStyle w:val="Corps"/>
      </w:pPr>
      <w:r>
        <w:t xml:space="preserve">La rupture d'égalité est circonstanciée dans [Rupture d'égalité de traitement]. Les opérateurs et situations comparés sont identifiés avec l'information, le délai, la tolérance ou l'exigence différenciée ; [Lien entre le manquement et la lésion susceptible] explique l'avantage concret qui a pu en résulter dans la compétition au détriment du requérant.</w:t>
      </w:r>
    </w:p>
    <w:p>
      <w:pPr>
        <w:pStyle w:val="Intertitre"/>
      </w:pPr>
      <w:r>
        <w:t xml:space="preserve">Clause optionnelle : NÉGOCIATION OU DIALOGUE IRRÉGULIER</w:t>
      </w:r>
    </w:p>
    <w:p>
      <w:pPr>
        <w:pStyle w:val="Corps"/>
      </w:pPr>
      <w:r>
        <w:t xml:space="preserve">Le déroulement irrégulier allégué est retracé dans [Irrégularité de négociation ou de dialogue]. Les invitations, sujets abordés, concessions permises, informations nouvelles et offres successives sont comparés chronologiquement, puis [Lien entre le manquement et la lésion susceptible] relie l'écart entre règle annoncée et pratique suivie à l'incidence possible sur le requérant.</w:t>
      </w:r>
    </w:p>
    <w:p>
      <w:pPr>
        <w:pStyle w:val="Intertitre"/>
      </w:pPr>
      <w:r>
        <w:t xml:space="preserve">Clause optionnelle : MODIFICATION IRRÉGULIÈRE DE LA PROCÉDURE OU DU BESOIN</w:t>
      </w:r>
    </w:p>
    <w:p>
      <w:pPr>
        <w:pStyle w:val="Corps"/>
      </w:pPr>
      <w:r>
        <w:t xml:space="preserve">La modification contestée est identifiée dans [Modification irrégulière de la procédure] avec sa date et son écart aux documents initiaux. Son caractère substantiel, sa diffusion et le délai de réponse sont examinés séparément ; [Lien entre le manquement et la lésion susceptible] en expose l'effet possible sur la stratégie ou l'offre du requérant.</w:t>
      </w:r>
    </w:p>
    <w:p>
      <w:pPr>
        <w:pStyle w:val="Intertitre"/>
      </w:pPr>
      <w:r>
        <w:t xml:space="preserve">Clause optionnelle : CONFLIT D'INTÉRÊTS OU DÉFAUT D'IMPARTIALITÉ</w:t>
      </w:r>
    </w:p>
    <w:p>
      <w:pPr>
        <w:pStyle w:val="Corps"/>
      </w:pPr>
      <w:r>
        <w:t xml:space="preserve">Les faits susceptibles d'altérer l'impartialité sont consignés dans [Conflit d'intérêts ou défaut d'impartialité]. Les fonctions, intérêts ou relations invoqués reposent sur des pièces précises, sans transformer un soupçon en certitude ; [Lien entre le manquement et la lésion susceptible] explique le risque concret pour la procédure et la situation du requérant.</w:t>
      </w:r>
    </w:p>
    <w:p>
      <w:pPr>
        <w:pStyle w:val="Intertitre"/>
      </w:pPr>
      <w:r>
        <w:t xml:space="preserve">Clause optionnelle : INFORMATION INSUFFISANTE SUR LE REJET</w:t>
      </w:r>
    </w:p>
    <w:p>
      <w:pPr>
        <w:pStyle w:val="Corps"/>
      </w:pPr>
      <w:r>
        <w:t xml:space="preserve">L'insuffisance d'information sur le rejet est établie par [Information insuffisante sur le rejet]. La demande, la réponse, les motifs transmis et les éléments manquants sont datés et reproduits ; [Lien entre le manquement et la lésion susceptible] précise leur incidence sur la compréhension utile du rejet et l'exercice effectif du recours.</w:t>
      </w:r>
    </w:p>
    <w:p>
      <w:pPr>
        <w:pStyle w:val="Intertitre"/>
      </w:pPr>
      <w:r>
        <w:t xml:space="preserve">Clause optionnelle : SIGNATURE OU DÉLAI DE SUSPENSION EN CAUSE</w:t>
      </w:r>
    </w:p>
    <w:p>
      <w:pPr>
        <w:pStyle w:val="Corps"/>
      </w:pPr>
      <w:r>
        <w:t xml:space="preserve">La difficulté relative à la signature est détaillée dans [Délai de signature ou suspension en cause]. La notification du rejet, son mode de transmission, la durée applicable, les exceptions invoquées et la date de signature annoncée ou constatée sont établis par des preuves identifiées ; [Lien entre le manquement et la lésion susceptible] expose l'incidence procédurale susceptible.</w:t>
      </w:r>
    </w:p>
    <w:p>
      <w:pPr>
        <w:pStyle w:val="Intertitre"/>
      </w:pPr>
      <w:r>
        <w:t xml:space="preserve">Clause optionnelle : AUTRE MANQUEMENT DE PUBLICITÉ OU DE MISE EN CONCURRENCE VÉRIFIÉ</w:t>
      </w:r>
    </w:p>
    <w:p>
      <w:pPr>
        <w:pStyle w:val="Corps"/>
      </w:pPr>
      <w:r>
        <w:t xml:space="preserve">Le moyen complémentaire est formulé dans [Autre manquement vérifié] en désignant l'obligation précise, son fondement, le fait qui l'aurait méconnue et le stade concerné. L'analyse [Lien entre le manquement et la lésion susceptible] démontre une incidence propre au requérant, sans regrouper des critiques hétérogènes ou dépourvues de support.</w:t>
      </w:r>
    </w:p>
    <w:p>
      <w:pPr>
        <w:pStyle w:val="Intertitre"/>
      </w:pPr>
      <w:r>
        <w:t xml:space="preserve">Clause optionnelle : SYNTHÈSE DES MANQUEMENTS ET DE LA LÉSION</w:t>
      </w:r>
    </w:p>
    <w:p>
      <w:pPr>
        <w:pStyle w:val="Corps"/>
      </w:pPr>
      <w:r>
        <w:t xml:space="preserve">La synthèse hiérarchisée des manquements, de leur preuve et de leur incidence susceptible est [Synthèse des manquements et de leur incidence]. Les moyens sont classés par ordre principal et subsidiaire ; pour chacun figurent l'obligation, le fait, la pièce, la lésion susceptible et la mesure correspondante, afin que le dispositif ne dépasse aucun développement soutenu.</w:t>
      </w:r>
    </w:p>
    <w:p>
      <w:pPr>
        <w:pStyle w:val="Intertitre"/>
      </w:pPr>
      <w:r>
        <w:t xml:space="preserve">Clause optionnelle : OFFICE DU JUGE — POUVOIR ADJUDICATEUR</w:t>
      </w:r>
    </w:p>
    <w:p>
      <w:pPr>
        <w:pStyle w:val="Corps"/>
      </w:pPr>
      <w:r>
        <w:t xml:space="preserve">Le juge peut ordonner la mise en conformité, suspendre la procédure, annuler les décisions irrégulières et supprimer les prescriptions contractuelles illicites dans les limites du dossier. Le choix entre injonction, suspension, annulation ou suppression d'une prescription est motivé au regard du stade de la passation, du manquement retenu et de l'utilité concrète de la mesure avant signature.</w:t>
      </w:r>
    </w:p>
    <w:p>
      <w:pPr>
        <w:pStyle w:val="Intertitre"/>
      </w:pPr>
      <w:r>
        <w:t xml:space="preserve">Clause optionnelle : OFFICE DU JUGE — ENTITÉ ADJUDICATRICE</w:t>
      </w:r>
    </w:p>
    <w:p>
      <w:pPr>
        <w:pStyle w:val="Corps"/>
      </w:pPr>
      <w:r>
        <w:t xml:space="preserve">Le juge peut ordonner la mise en conformité, suspendre une décision de passation et assortir l'injonction d'une astreinte selon les conditions applicables. Les conclusions sont adaptées au régime de l'entité adjudicatrice : elles décrivent l'obligation à exécuter, la décision à suspendre et, le cas échéant, l'astreinte utile, sans demander une annulation hors champ.</w:t>
      </w:r>
    </w:p>
    <w:p>
      <w:pPr>
        <w:pStyle w:val="Intertitre"/>
      </w:pPr>
      <w:r>
        <w:t xml:space="preserve">Clause optionnelle : OFFICE DU JUGE — DÉFENSE OU SÉCURITÉ</w:t>
      </w:r>
    </w:p>
    <w:p>
      <w:pPr>
        <w:pStyle w:val="Corps"/>
      </w:pPr>
      <w:r>
        <w:t xml:space="preserve">Les mesures sont limitées aux injonctions, suspensions et astreintes permises pour ce secteur ; aucune annulation non prévue n'est demandée. La qualification sectorielle est rappelée dans le dispositif et commande chaque conclusion ; les mesures demandées restent précisément formulées pour éviter qu'une demande d'annulation ou de suppression non ouverte subsiste par erreur.</w:t>
      </w:r>
    </w:p>
    <w:p>
      <w:pPr>
        <w:pStyle w:val="Intertitre"/>
      </w:pPr>
      <w:r>
        <w:t xml:space="preserve">Clause optionnelle : INJONCTION DE SE CONFORMER AUX OBLIGATIONS</w:t>
      </w:r>
    </w:p>
    <w:p>
      <w:pPr>
        <w:pStyle w:val="Corps"/>
      </w:pPr>
      <w:r>
        <w:t xml:space="preserve">Il est demandé d'ordonner à l'auteur du manquement de se conformer à ses obligations selon [Injonction de se conformer demandée]. L'injonction désigne son destinataire, l'obligation méconnue, l'acte concret attendu et le moment auquel il doit intervenir, sans laisser au dispositif une formule générale impossible à exécuter.</w:t>
      </w:r>
    </w:p>
    <w:p>
      <w:pPr>
        <w:pStyle w:val="Intertitre"/>
      </w:pPr>
      <w:r>
        <w:t xml:space="preserve">Clause optionnelle : SUSPENSION DE LA PROCÉDURE OU D'UNE DÉCISION</w:t>
      </w:r>
    </w:p>
    <w:p>
      <w:pPr>
        <w:pStyle w:val="Corps"/>
      </w:pPr>
      <w:r>
        <w:t xml:space="preserve">La suspension sollicitée est précisément limitée dans [Suspension demandée] et rattachée au manquement établi. Elle précise la procédure, la décision ou la phase visée, la durée utile et l'événement mettant fin à la suspension, de manière cohérente avec la mesure de régularisation sollicitée à titre principal.</w:t>
      </w:r>
    </w:p>
    <w:p>
      <w:pPr>
        <w:pStyle w:val="Intertitre"/>
      </w:pPr>
      <w:r>
        <w:t xml:space="preserve">Clause optionnelle : ANNULATION D'UNE DÉCISION DE PASSATION</w:t>
      </w:r>
    </w:p>
    <w:p>
      <w:pPr>
        <w:pStyle w:val="Corps"/>
      </w:pPr>
      <w:r>
        <w:t xml:space="preserve">L'annulation demandée est [Annulation demandée] et demeure limitée à l'office applicable au pouvoir adjudicateur hors défense ou sécurité. La décision est identifiée par sa date, son auteur et son objet ; l'étendue de l'annulation demandée correspond au seul manquement développé et n'emporte pas automatiquement l'ensemble de la procédure.</w:t>
      </w:r>
    </w:p>
    <w:p>
      <w:pPr>
        <w:pStyle w:val="Intertitre"/>
      </w:pPr>
      <w:r>
        <w:t xml:space="preserve">Clause optionnelle : SUPPRESSION D'UNE CLAUSE OU PRESCRIPTION IRRÉGULIÈRE</w:t>
      </w:r>
    </w:p>
    <w:p>
      <w:pPr>
        <w:pStyle w:val="Corps"/>
      </w:pPr>
      <w:r>
        <w:t xml:space="preserve">La clause ou prescription à supprimer et le manquement correspondant sont [Suppression de clause demandée]. La requête cite la rédaction et l'emplacement exacts de la prescription, explique l'irrégularité invoquée et précise la conséquence attendue sur la poursuite de la consultation après sa suppression.</w:t>
      </w:r>
    </w:p>
    <w:p>
      <w:pPr>
        <w:pStyle w:val="Intertitre"/>
      </w:pPr>
      <w:r>
        <w:t xml:space="preserve">Clause optionnelle : INJONCTION PROPRE À L'ENTITÉ ADJUDICATRICE</w:t>
      </w:r>
    </w:p>
    <w:p>
      <w:pPr>
        <w:pStyle w:val="Corps"/>
      </w:pPr>
      <w:r>
        <w:t xml:space="preserve">La mesure et le délai sollicités contre l'entité adjudicatrice sont [Injonction demandée à l'entité adjudicatrice]. Le dispositif indique l'obligation précise, le délai d'exécution et les actes nécessaires à la reprise régulière de la procédure, en tenant compte du régime propre à l'entité adjudicatrice.</w:t>
      </w:r>
    </w:p>
    <w:p>
      <w:pPr>
        <w:pStyle w:val="Intertitre"/>
      </w:pPr>
      <w:r>
        <w:t xml:space="preserve">Clause optionnelle : ASTREINTE PROVISOIRE</w:t>
      </w:r>
    </w:p>
    <w:p>
      <w:pPr>
        <w:pStyle w:val="Corps"/>
      </w:pPr>
      <w:r>
        <w:t xml:space="preserve">L'astreinte provisoire sollicitée et son rattachement à l'injonction sont [Astreinte provisoire demandée]. Le montant, la périodicité, le point de départ et l'obligation garantie sont expressément indiqués ; l'astreinte demeure une mesure provisoire rattachée à une injonction déterminée, non une sanction autonome.</w:t>
      </w:r>
    </w:p>
    <w:p>
      <w:pPr>
        <w:pStyle w:val="Intertitre"/>
      </w:pPr>
      <w:r>
        <w:t xml:space="preserve">Clause optionnelle : MISE EN BALANCE DES INTÉRÊTS</w:t>
      </w:r>
    </w:p>
    <w:p>
      <w:pPr>
        <w:pStyle w:val="Corps"/>
      </w:pPr>
      <w:r>
        <w:t xml:space="preserve">Les avantages des mesures et leurs conséquences pour les parties et l'intérêt public sont exposés dans [Mise en balance des intérêts]. La requête distingue l'intérêt propre des parties, la continuité ou l'urgence du besoin public et les conséquences d'une suspension, puis explique pourquoi la mesure sollicitée reste proportionnée aux irrégularités démontrées.</w:t>
      </w:r>
    </w:p>
    <w:p>
      <w:pPr>
        <w:pStyle w:val="Intertitre"/>
      </w:pPr>
      <w:r>
        <w:t xml:space="preserve">Clause optionnelle : INTERDICTION DE SIGNER APRÈS SAISINE</w:t>
      </w:r>
    </w:p>
    <w:p>
      <w:pPr>
        <w:pStyle w:val="Corps"/>
      </w:pPr>
      <w:r>
        <w:t xml:space="preserve">La saisine régulièrement notifiée interdit la signature jusqu'à la notification de la décision juridictionnelle ; son suivi repose sur [Preuve de notification du recours]. La date et l'heure de notification au bon destinataire sont rapprochées de celles du dépôt et de toute information relative à la signature, afin de pouvoir établir la période exacte pendant laquelle l'interdiction produit effet.</w:t>
      </w:r>
    </w:p>
    <w:p>
      <w:pPr>
        <w:pStyle w:val="Intertitre"/>
      </w:pPr>
      <w:r>
        <w:t xml:space="preserve">La procédure est-elle conduite par un pouvoir adjudicateur ou une entité adjudicatrice ? — choisir une seule variante</w:t>
      </w:r>
    </w:p>
    <w:p>
      <w:pPr>
        <w:pStyle w:val="Variante"/>
      </w:pPr>
      <w:r>
        <w:t xml:space="preserve">Variante : NOTIFICATION DU RECOURS AU POUVOIR ADJUDICATEUR</w:t>
      </w:r>
    </w:p>
    <w:p>
      <w:pPr>
        <w:pStyle w:val="Corps"/>
      </w:pPr>
      <w:r>
        <w:t xml:space="preserve">La notification au pouvoir adjudicateur est établie par [Preuve de notification du recours]. Le recours, son bordereau et la preuve de réception identifient sans ambiguïté la consultation ; le canal, la date et l'heure demeurent concordants avec la saisine de la juridiction.</w:t>
      </w:r>
    </w:p>
    <w:p>
      <w:pPr>
        <w:pStyle w:val="Variante"/>
      </w:pPr>
      <w:r>
        <w:t xml:space="preserve">Variante : NOTIFICATION DU RECOURS À L'ENTITÉ ADJUDICATRICE</w:t>
      </w:r>
    </w:p>
    <w:p>
      <w:pPr>
        <w:pStyle w:val="Corps"/>
      </w:pPr>
      <w:r>
        <w:t xml:space="preserve">La pièce [Preuve de notification du recours] établit la notification à l'entité adjudicatrice effectivement responsable de la passation. Elle permet de vérifier le contenu transmis, le destinataire, le canal, la date, l'heure et la réception nécessaires à l'accomplissement de cette formalité.</w:t>
      </w:r>
    </w:p>
    <w:p>
      <w:pPr>
        <w:pStyle w:val="Intertitre"/>
      </w:pPr>
      <w:r>
        <w:t xml:space="preserve">Quel canal de dépôt est autorisé pour le requérant ? — choisir une seule variante</w:t>
      </w:r>
    </w:p>
    <w:p>
      <w:pPr>
        <w:pStyle w:val="Variante"/>
      </w:pPr>
      <w:r>
        <w:t xml:space="preserve">Variante : DÉPÔT PAR TÉLÉRECOURS</w:t>
      </w:r>
    </w:p>
    <w:p>
      <w:pPr>
        <w:pStyle w:val="Corps"/>
      </w:pPr>
      <w:r>
        <w:t xml:space="preserve">La requête et les pièces sont transmises selon [Preuve du dépôt] par le téléservice professionnel applicable. L'accusé d'enregistrement, l'inventaire des fichiers, leurs intitulés et leur version sont conservés ; les éventuelles régularisations ultérieures sont distinguées du dépôt initial et datées séparément.</w:t>
      </w:r>
    </w:p>
    <w:p>
      <w:pPr>
        <w:pStyle w:val="Variante"/>
      </w:pPr>
      <w:r>
        <w:t xml:space="preserve">Variante : DÉPÔT PAR TÉLÉRECOURS CITOYENS</w:t>
      </w:r>
    </w:p>
    <w:p>
      <w:pPr>
        <w:pStyle w:val="Corps"/>
      </w:pPr>
      <w:r>
        <w:t xml:space="preserve">Le requérant non représenté transmet la requête et les pièces selon [Preuve du dépôt] par le téléservice autorisé. Le compte utilisé, la juridiction sélectionnée, la date, l'heure, les fichiers transmis et l'accusé de réception sont vérifiés sans présumer que ce canal convient à un requérant représenté.</w:t>
      </w:r>
    </w:p>
    <w:p>
      <w:pPr>
        <w:pStyle w:val="Variante"/>
      </w:pPr>
      <w:r>
        <w:t xml:space="preserve">Variante : DÉPÔT PAPIER AUTORISÉ</w:t>
      </w:r>
    </w:p>
    <w:p>
      <w:pPr>
        <w:pStyle w:val="Corps"/>
      </w:pPr>
      <w:r>
        <w:t xml:space="preserve">La possibilité du dépôt papier et la preuve de transmission sont établies par [Preuve du dépôt]. Le fondement autorisant cette transmission, le nombre d'exemplaires, l'adresse, le mode d'envoi et la preuve de réception sont établis ; une simple préparation matérielle n'est jamais assimilée au dépôt.</w:t>
      </w:r>
    </w:p>
    <w:p>
      <w:pPr>
        <w:pStyle w:val="Intertitre"/>
      </w:pPr>
      <w:r>
        <w:t xml:space="preserve">CALENDRIER DU RÉFÉRÉ</w:t>
      </w:r>
    </w:p>
    <w:p>
      <w:pPr>
        <w:pStyle w:val="Corps"/>
      </w:pPr>
      <w:r>
        <w:t xml:space="preserve">Le délai de jugement, la date d'attribution, le mode de notification et la date à partir de laquelle le juge peut statuer sont contrôlés dans [Calendrier procédural du référé]. La chronologie distingue saisine, notification, signature annoncée, communication des observations, audience et décision. Tout délai est calculé depuis l'événement juridiquement pertinent et signalé lorsqu'une preuve manque.</w:t>
      </w:r>
    </w:p>
    <w:p>
      <w:pPr>
        <w:pStyle w:val="Intertitre"/>
      </w:pPr>
      <w:r>
        <w:t xml:space="preserve">Clause optionnelle : OBSERVATIONS EN DÉFENSE</w:t>
      </w:r>
    </w:p>
    <w:p>
      <w:pPr>
        <w:pStyle w:val="Corps"/>
      </w:pPr>
      <w:r>
        <w:t xml:space="preserve">Les observations reçues de l'acheteur ou de l'attributaire pressenti sont [Observations en défense] et sont traitées contradictoirement. Chaque affirmation adverse est rapprochée de la pièce invoquée et reçoit une réponse ciblée sur la recevabilité, le manquement, la lésion ou la mesure, sans introduire un moyen nouveau dépourvu de support factuel.</w:t>
      </w:r>
    </w:p>
    <w:p>
      <w:pPr>
        <w:pStyle w:val="Intertitre"/>
      </w:pPr>
      <w:r>
        <w:t xml:space="preserve">Clause optionnelle : PRÉPARATION DE L'AUDIENCE</w:t>
      </w:r>
    </w:p>
    <w:p>
      <w:pPr>
        <w:pStyle w:val="Corps"/>
      </w:pPr>
      <w:r>
        <w:t xml:space="preserve">L'audience, les points à soutenir, les pièces décisives et les réponses attendues sont [Préparation de l'audience]. La préparation ordonne les points de recevabilité, les faits déterminants, les moyens prioritaires, les réponses adverses et les demandes ; elle identifie pour chaque point la pièce immédiatement mobilisable à l'audience.</w:t>
      </w:r>
    </w:p>
    <w:p>
      <w:pPr>
        <w:pStyle w:val="Intertitre"/>
      </w:pPr>
      <w:r>
        <w:t xml:space="preserve">Clause optionnelle : OBSERVATIONS ORALES</w:t>
      </w:r>
    </w:p>
    <w:p>
      <w:pPr>
        <w:pStyle w:val="Corps"/>
      </w:pPr>
      <w:r>
        <w:t xml:space="preserve">Les observations orales sont limitées aux manquements, lésions, pièces et mesures décrits dans [Observations orales]. Aucune donnée nouvelle n'est affirmée sans pouvoir en produire le support ; les réponses orales restent cohérentes avec les écritures, précisent les contestations persistantes et actualisent seulement les éléments survenus depuis leur dépôt.</w:t>
      </w:r>
    </w:p>
    <w:p>
      <w:pPr>
        <w:pStyle w:val="Intertitre"/>
      </w:pPr>
      <w:r>
        <w:t xml:space="preserve">Clause optionnelle : MESURE ENVISAGÉE D'OFFICE</w:t>
      </w:r>
    </w:p>
    <w:p>
      <w:pPr>
        <w:pStyle w:val="Corps"/>
      </w:pPr>
      <w:r>
        <w:t xml:space="preserve">La mesure communiquée par le juge et le délai d'observation sont [Mesure envisagée d'office] ; la réponse est [Observations sur la mesure d'office]. La réponse porte exactement sur la mesure annoncée, son fondement et ses conséquences, dans le délai fixé par le juge ; elle distingue l'acceptation, les réserves et toute mesure alternative proposée.</w:t>
      </w:r>
    </w:p>
    <w:p>
      <w:pPr>
        <w:pStyle w:val="Intertitre"/>
      </w:pPr>
      <w:r>
        <w:t xml:space="preserve">Clause optionnelle : NOTIFICATION DU RECOURS CONTRÔLÉE</w:t>
      </w:r>
    </w:p>
    <w:p>
      <w:pPr>
        <w:pStyle w:val="Corps"/>
      </w:pPr>
      <w:r>
        <w:t xml:space="preserve">La preuve de notification est [Preuve de notification du recours] et sa réception est rattachée à la saisine. Le contrôle porte sur le bon destinataire, le contenu identique à la requête, la date, l'heure, le canal et la réception. Une preuve d'envoi seule est décrite comme telle lorsqu'elle n'établit pas la réception.</w:t>
      </w:r>
    </w:p>
    <w:p>
      <w:pPr>
        <w:pStyle w:val="Intertitre"/>
      </w:pPr>
      <w:r>
        <w:t xml:space="preserve">Clause optionnelle : DÉPÔT DE LA REQUÊTE CONTRÔLÉ</w:t>
      </w:r>
    </w:p>
    <w:p>
      <w:pPr>
        <w:pStyle w:val="Corps"/>
      </w:pPr>
      <w:r>
        <w:t xml:space="preserve">Le canal, la date et l'accusé de dépôt sont établis par [Preuve du dépôt]. L'accusé permet de rattacher les écritures et chaque pièce au bon dossier et au bon tribunal ; toute anomalie de format, de numérotation ou de transmission fait l'objet d'une régularisation identifiée.</w:t>
      </w:r>
    </w:p>
    <w:p>
      <w:pPr>
        <w:pStyle w:val="Intertitre"/>
      </w:pPr>
      <w:r>
        <w:t xml:space="preserve">Clause optionnelle : MATRICE PROBATOIRE CONTRÔLÉE</w:t>
      </w:r>
    </w:p>
    <w:p>
      <w:pPr>
        <w:pStyle w:val="Corps"/>
      </w:pPr>
      <w:r>
        <w:t xml:space="preserve">La matrice [Matrice faits, manquements et pièces] relie chaque allégation à une pièce identifiée et à son incidence dans la procédure. La cohérence du numéro, de l'intitulé et du contenu de chaque pièce est vérifiée dans les moyens et le bordereau ; aucune référence vide ou document annoncé mais absent ne demeure dans la version déposée.</w:t>
      </w:r>
    </w:p>
    <w:p>
      <w:pPr>
        <w:pStyle w:val="Intertitre"/>
      </w:pPr>
      <w:r>
        <w:t xml:space="preserve">PAR CES MOTIFS</w:t>
      </w:r>
    </w:p>
    <w:p>
      <w:pPr>
        <w:pStyle w:val="Corps"/>
      </w:pPr>
      <w:r>
        <w:t xml:space="preserve">Il est demandé au juge du référé précontractuel de statuer dans la limite des manquements, lésions et mesures établis par la requête et ses pièces. Les conclusions qui suivent sont lues à la lumière des développements précédents et selon leur ordre principal ou subsidiaire ; aucune mesure n'est présentée comme acquise avant la décision du juge.</w:t>
      </w:r>
    </w:p>
    <w:p>
      <w:pPr>
        <w:pStyle w:val="Intertitre"/>
      </w:pPr>
      <w:r>
        <w:t xml:space="preserve">Clause optionnelle : DEMANDES FINALES</w:t>
      </w:r>
    </w:p>
    <w:p>
      <w:pPr>
        <w:pStyle w:val="Corps"/>
      </w:pPr>
      <w:r>
        <w:t xml:space="preserve">Les demandes finales, leur hiérarchie et leur rattachement à l'office du juge sont [Dispositif final]. Le dispositif nomme le destinataire, la procédure, la décision et l'acte attendu pour chaque mesure ; il écarte les options incompatibles avec la qualité de l'acheteur ou le secteur retenu.</w:t>
      </w:r>
    </w:p>
    <w:p>
      <w:pPr>
        <w:pStyle w:val="Intertitre"/>
      </w:pPr>
      <w:r>
        <w:t xml:space="preserve">Clause optionnelle : FRAIS EXPOSÉS ET NON COMPRIS DANS LES DÉPENS</w:t>
      </w:r>
    </w:p>
    <w:p>
      <w:pPr>
        <w:pStyle w:val="Corps"/>
      </w:pPr>
      <w:r>
        <w:t xml:space="preserve">La demande de frais, la partie visée et ses justificatifs sont [Demande de frais]. Le montant n'est inscrit que sur instruction confirmée et la partie contre laquelle il est demandé est identifiée ; la requête n'invente ni convention d'honoraires ni dépense non justifiée.</w:t>
      </w:r>
    </w:p>
    <w:p>
      <w:pPr>
        <w:pStyle w:val="Intertitre"/>
      </w:pPr>
      <w:r>
        <w:t xml:space="preserve">PIÈCES CITÉES</w:t>
      </w:r>
    </w:p>
    <w:p>
      <w:pPr>
        <w:pStyle w:val="Corps"/>
      </w:pPr>
      <w:r>
        <w:t xml:space="preserve">Les références de pièces citées dans les développements sont [Pièces citées]. Chaque citation indique un numéro stable et, lorsque nécessaire, la page ou le passage utile. Les pièces confidentielles sont signalées et traitées selon la modalité décidée sans divulgation automatique.</w:t>
      </w:r>
    </w:p>
    <w:p>
      <w:pPr>
        <w:pStyle w:val="Intertitre"/>
      </w:pPr>
      <w:r>
        <w:t xml:space="preserve">BORDEREAU DES PIÈCES</w:t>
      </w:r>
    </w:p>
    <w:p>
      <w:pPr>
        <w:pStyle w:val="Corps"/>
      </w:pPr>
      <w:r>
        <w:t xml:space="preserve">Le bordereau ordonné, les intitulés et le rattachement de chaque pièce sont [Bordereau de pièces]. Le bordereau suit l'ordre de première citation, distingue les documents principaux des annexes et reprend pour chacun une date et un intitulé exacts, sans créer de pièce pour combler un manque.</w:t>
      </w:r>
    </w:p>
    <w:p>
      <w:pPr>
        <w:pStyle w:val="Intertitre"/>
      </w:pPr>
      <w:r>
        <w:t xml:space="preserve">Clause optionnelle : SIGNATURE À APPOSER</w:t>
      </w:r>
    </w:p>
    <w:p>
      <w:pPr>
        <w:pStyle w:val="Corps"/>
      </w:pPr>
      <w:r>
        <w:t xml:space="preserve">Le projet sera signé par [Signataire de la requête] après contrôle des faits, moyens, demandes et pièces. L'emplacement réservé ne contient aucune signature, date ou identité fictive. La qualité du futur signataire et son pouvoir restent à confirmer par les pièces avant le passage au stade prêt au dépôt.</w:t>
      </w:r>
    </w:p>
    <w:p>
      <w:pPr>
        <w:pStyle w:val="Intertitre"/>
      </w:pPr>
      <w:r>
        <w:t xml:space="preserve">Clause optionnelle : REQUÊTE SIGNÉE</w:t>
      </w:r>
    </w:p>
    <w:p>
      <w:pPr>
        <w:pStyle w:val="Corps"/>
      </w:pPr>
      <w:r>
        <w:t xml:space="preserve">La requête est datée du [Date de signature] et signée par [Signataire de la requête] dans la qualité procédurale vérifiée. La date et l'identité sont celles effectivement apposées sur la version déposée ; le fichier signé, le mandat éventuel et l'accusé de transmission sont conservés comme éléments distincts.</w:t>
      </w:r>
    </w:p>
    <w:p>
      <w:pPr>
        <w:pStyle w:val="Intertitre"/>
      </w:pPr>
      <w:r>
        <w:t xml:space="preserve">Clause optionnelle : EFFETS DE L'ORDONNANCE</w:t>
      </w:r>
    </w:p>
    <w:p>
      <w:pPr>
        <w:pStyle w:val="Corps"/>
      </w:pPr>
      <w:r>
        <w:t xml:space="preserve">Les mesures ordonnées, leur notification et les actes d'exécution sont analysés dans [Mesures après ordonnance]. L'analyse distingue ce que le juge ordonne, refuse ou constate, les délais d'exécution et les décisions de passation affectées. Elle ne généralise pas le dispositif à un lot ou à un acte non visé.</w:t>
      </w:r>
    </w:p>
    <w:p>
      <w:pPr>
        <w:pStyle w:val="Intertitre"/>
      </w:pPr>
      <w:r>
        <w:t xml:space="preserve">Clause optionnelle : POURVOI EN CASSATION</w:t>
      </w:r>
    </w:p>
    <w:p>
      <w:pPr>
        <w:pStyle w:val="Corps"/>
      </w:pPr>
      <w:r>
        <w:t xml:space="preserve">La recevabilité, les moyens et la décision de former ou non un pourvoi sont exposés dans [Analyse du pourvoi en cassation]. Le point de départ et le délai sont déterminés depuis la notification prouvée ; les moyens envisagés, l'intérêt pratique du recours et l'effet non suspensif éventuel sont examinés avant toute décision.</w:t>
      </w:r>
    </w:p>
    <w:p>
      <w:pPr>
        <w:pStyle w:val="Intertitre"/>
      </w:pPr>
      <w:r>
        <w:t xml:space="preserve">Clause optionnelle : EXÉCUTION ET REPRISE DE LA PROCÉDURE</w:t>
      </w:r>
    </w:p>
    <w:p>
      <w:pPr>
        <w:pStyle w:val="Corps"/>
      </w:pPr>
      <w:r>
        <w:t xml:space="preserve">Les mesures de mise en conformité, la reprise de la passation et les contrôles subséquents sont [Mesures après ordonnance]. Chaque acte de reprise est rapproché du dispositif et de son délai : nouvelle information, réexamen, modification des documents ou reprise d'une phase. Les écarts constatés sont documentés avant une nouvelle initiative.</w:t>
      </w:r>
    </w:p>
    <w:p>
      <w:pPr>
        <w:pStyle w:val="Intertitre"/>
      </w:pPr>
      <w:r>
        <w:t xml:space="preserve">Clause optionnelle : CONTRAT DÉJÀ SIGNÉ — VOIE PRÉCONTRACTUELLE FERMÉE</w:t>
      </w:r>
    </w:p>
    <w:p>
      <w:pPr>
        <w:pStyle w:val="Corps"/>
      </w:pPr>
      <w:r>
        <w:t xml:space="preserve">La signature établie par [Preuve de l'absence de signature] impose une analyse distincte [Analyse du référé contractuel] ; la présente requête ne peut être exportée comme référé précontractuel. L'analyse identifie la date et l'heure exactes de conclusion, la publicité ou notification disponible et les recours encore envisageables. Elle demeure séparée du présent modèle pour éviter l'export d'un acte devenu sans objet.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