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ntion"/>
      </w:pPr>
      <w:r>
        <w:t xml:space="preserve">Trame de travail — à relire et à adapter à l'espèce avant tout usage. Ce document n'est ni un conseil juridique ni une trame validée pour un dossier particulier. Les mentions entre crochets sont à compléter ; dans LegalProd, elles se remplissent depuis la fiche du dossier client.</w:t>
      </w:r>
    </w:p>
    <w:p>
      <w:pPr>
        <w:pStyle w:val="Titre"/>
      </w:pPr>
      <w:r>
        <w:t xml:space="preserve">REQUÊTE EN RÉFÉRÉ-SUSPENSION SUR LE FONDEMENT DE L'ARTICLE L. 521-1 DU CJA</w:t>
      </w:r>
    </w:p>
    <w:p>
      <w:pPr>
        <w:pStyle w:val="Intertitre"/>
      </w:pPr>
      <w:r>
        <w:t xml:space="preserve">À quel stade matériel se trouve le référé ? — choisir une seule variante</w:t>
      </w:r>
    </w:p>
    <w:p>
      <w:pPr>
        <w:pStyle w:val="Variante"/>
      </w:pPr>
      <w:r>
        <w:t xml:space="preserve">Variante : PROJET DE REQUÊTE EN RÉFÉRÉ-SUSPENSION</w:t>
      </w:r>
    </w:p>
    <w:p>
      <w:pPr>
        <w:pStyle w:val="Corps"/>
      </w:pPr>
      <w:r>
        <w:t xml:space="preserve">Projet rattaché au dossier [Référence du dossier]. Ce stade ne vaut ni signature, ni dépôt, ni démonstration définitive de l'urgence. Le projet distingue les éléments déjà établis de ceux qui demeurent à documenter et ne présente aucune date de saisine, audience ou ordonnance comme acquise.</w:t>
      </w:r>
    </w:p>
    <w:p>
      <w:pPr>
        <w:pStyle w:val="Variante"/>
      </w:pPr>
      <w:r>
        <w:t xml:space="preserve">Variante : REQUÊTE EN RÉFÉRÉ-SUSPENSION PRÊTE AU DÉPÔT</w:t>
      </w:r>
    </w:p>
    <w:p>
      <w:pPr>
        <w:pStyle w:val="Corps"/>
      </w:pPr>
      <w:r>
        <w:t xml:space="preserve">La version du dossier [Référence du dossier] est prête à être signée et déposée après contrôle des conditions bloquantes de recevabilité. La décision contestée, la requête au fond distincte, les pièces d'urgence, les moyens sérieux et le dispositif sont rapprochés une dernière fois avant toute transmission.</w:t>
      </w:r>
    </w:p>
    <w:p>
      <w:pPr>
        <w:pStyle w:val="Variante"/>
      </w:pPr>
      <w:r>
        <w:t xml:space="preserve">Variante : REQUÊTE EN RÉFÉRÉ-SUSPENSION DÉPOSÉE</w:t>
      </w:r>
    </w:p>
    <w:p>
      <w:pPr>
        <w:pStyle w:val="Corps"/>
      </w:pPr>
      <w:r>
        <w:t xml:space="preserve">La requête du dossier [Référence du dossier] a été transmise selon [Preuve du dépôt] avec la mention d'urgence requise. La date, l'heure, le canal, l'accusé de réception et la version exacte des fichiers transmis sont conservés afin d'établir la réalité et le périmètre de la saisine.</w:t>
      </w:r>
    </w:p>
    <w:p>
      <w:pPr>
        <w:pStyle w:val="Variante"/>
      </w:pPr>
      <w:r>
        <w:t xml:space="preserve">Variante : RÉFÉRÉ-SUSPENSION EN ATTENTE D'AUDIENCE</w:t>
      </w:r>
    </w:p>
    <w:p>
      <w:pPr>
        <w:pStyle w:val="Corps"/>
      </w:pPr>
      <w:r>
        <w:t xml:space="preserve">La requête déposée est appelée à l'audience selon [Préparation de l'audience] ; les échanges contradictoires restent suivis jusqu'à la clôture. La date d'audience, les délais de production, les observations adverses et les éventuelles mesures d'instruction sont recensés sans confondre le dossier de référé avec l'instance au fond.</w:t>
      </w:r>
    </w:p>
    <w:p>
      <w:pPr>
        <w:pStyle w:val="Variante"/>
      </w:pPr>
      <w:r>
        <w:t xml:space="preserve">Variante : ORDONNANCE DE RÉFÉRÉ REÇUE</w:t>
      </w:r>
    </w:p>
    <w:p>
      <w:pPr>
        <w:pStyle w:val="Corps"/>
      </w:pPr>
      <w:r>
        <w:t xml:space="preserve">L'ordonnance est identifiée par [Référence de l'ordonnance] ; ses effets sur la suspension et la requête au fond sont contrôlés séparément. La date de notification, le dispositif exécutoire, les motifs, les obligations imposées et les voies de recours sont relevés avant de déterminer toute suite procédurale.</w:t>
      </w:r>
    </w:p>
    <w:p>
      <w:pPr>
        <w:pStyle w:val="Intertitre"/>
      </w:pPr>
      <w:r>
        <w:t xml:space="preserve">À LA JURIDICTION ADMINISTRATIVE</w:t>
      </w:r>
    </w:p>
    <w:p>
      <w:pPr>
        <w:pStyle w:val="Corps"/>
      </w:pPr>
      <w:r>
        <w:t xml:space="preserve">La requête est présentée à [Juridiction administrative]. La compétence matérielle et territoriale est justifiée par [Fondement de compétence]. La désignation de la juridiction, son siège et le fondement de compétence concordent avec la décision, son auteur, le lieu de ses effets et toute règle spéciale applicable.</w:t>
      </w:r>
    </w:p>
    <w:p>
      <w:pPr>
        <w:pStyle w:val="Intertitre"/>
      </w:pPr>
      <w:r>
        <w:t xml:space="preserve">Quelle règle de compétence est vérifiée ? — choisir une seule variante</w:t>
      </w:r>
    </w:p>
    <w:p>
      <w:pPr>
        <w:pStyle w:val="Variante"/>
      </w:pPr>
      <w:r>
        <w:t xml:space="preserve">Variante : COMPÉTENCE TERRITORIALE GÉNÉRALE</w:t>
      </w:r>
    </w:p>
    <w:p>
      <w:pPr>
        <w:pStyle w:val="Corps"/>
      </w:pPr>
      <w:r>
        <w:t xml:space="preserve">La compétence est examinée au regard de [Compétence territoriale générale], sans présumer le lieu de l'autorité ni l'absence de règle spéciale. L'analyse précise le siège de l'autorité qui a pris la décision, les effets territoriaux utiles et la raison pour laquelle aucune dérogation sectorielle ne déplace le ressort retenu.</w:t>
      </w:r>
    </w:p>
    <w:p>
      <w:pPr>
        <w:pStyle w:val="Variante"/>
      </w:pPr>
      <w:r>
        <w:t xml:space="preserve">Variante : COMPÉTENCE SPÉCIALE</w:t>
      </w:r>
    </w:p>
    <w:p>
      <w:pPr>
        <w:pStyle w:val="Corps"/>
      </w:pPr>
      <w:r>
        <w:t xml:space="preserve">La compétence spéciale est fondée sur [Compétence spéciale] ; le texte et les faits de rattachement sont vérifiés avant dépôt. Le texte spécial est cité dans sa version applicable, puis relié aux faits de rattachement et à la nature exacte des conclusions afin d'écarter une compétence seulement supposée.</w:t>
      </w:r>
    </w:p>
    <w:p>
      <w:pPr>
        <w:pStyle w:val="Intertitre"/>
      </w:pPr>
      <w:r>
        <w:t xml:space="preserve">Le requérant est-il une personne physique ou morale ? — choisir une seule variante</w:t>
      </w:r>
    </w:p>
    <w:p>
      <w:pPr>
        <w:pStyle w:val="Variante"/>
      </w:pPr>
      <w:r>
        <w:t xml:space="preserve">Variante : POUR LE REQUÉRANT PERSONNE PHYSIQUE</w:t>
      </w:r>
    </w:p>
    <w:p>
      <w:pPr>
        <w:pStyle w:val="Corps"/>
      </w:pPr>
      <w:r>
        <w:t xml:space="preserve">[Identite du requérant], demeurant [Adresse du requérant], agit en son nom et, le cas échéant, par [Representant du requérant]. L'identité, le domicile, la capacité et la qualité invoquée sont rapprochés des justificatifs produits ; le représentant éventuel n'est mentionné qu'avec un pouvoir vérifié.</w:t>
      </w:r>
    </w:p>
    <w:p>
      <w:pPr>
        <w:pStyle w:val="Variante"/>
      </w:pPr>
      <w:r>
        <w:t xml:space="preserve">Variante : POUR LA PERSONNE MORALE REQUÉRANTE</w:t>
      </w:r>
    </w:p>
    <w:p>
      <w:pPr>
        <w:pStyle w:val="Corps"/>
      </w:pPr>
      <w:r>
        <w:t xml:space="preserve">[Identite de la personne morale requérante], ayant son siège [Adresse du requérant], agit par [Representant du requérant], dont le pouvoir est joint. La dénomination, la forme, le siège, l'immatriculation, l'organe compétent et la qualité du signataire sont reproduits d'après des pièces actuelles et concordantes.</w:t>
      </w:r>
    </w:p>
    <w:p>
      <w:pPr>
        <w:pStyle w:val="Intertitre"/>
      </w:pPr>
      <w:r>
        <w:t xml:space="preserve">Clause optionnelle : PLURALITÉ DE REQUÉRANTS</w:t>
      </w:r>
    </w:p>
    <w:p>
      <w:pPr>
        <w:pStyle w:val="Corps"/>
      </w:pPr>
      <w:r>
        <w:t xml:space="preserve">Les identités, qualités, intérêts et pouvoirs de chaque requérant sont distingués dans [Pluralité de requérants]. L'annexe indique pour chacun l'acte attaqué, l'urgence propre, l'intérêt pour agir et les pièces correspondantes, sans transformer des situations différentes en allégations communes indifférenciées.</w:t>
      </w:r>
    </w:p>
    <w:p>
      <w:pPr>
        <w:pStyle w:val="Intertitre"/>
      </w:pPr>
      <w:r>
        <w:t xml:space="preserve">CONTRE L'AUTORITÉ DÉFENDERESSE</w:t>
      </w:r>
    </w:p>
    <w:p>
      <w:pPr>
        <w:pStyle w:val="Corps"/>
      </w:pPr>
      <w:r>
        <w:t xml:space="preserve">Le recours est dirigé contre [Autorité défenderesse], en qualité d'auteur ou d'autorité compétente au regard de la décision attaquée. La désignation distingue l'auteur matériel de l'acte, la personne publique au nom de laquelle il a été pris et, le cas échéant, l'autorité compétente pour exécuter l'ordonnance.</w:t>
      </w:r>
    </w:p>
    <w:p>
      <w:pPr>
        <w:pStyle w:val="Intertitre"/>
      </w:pPr>
      <w:r>
        <w:t xml:space="preserve">Quel régime de représentation est vérifié ? — choisir une seule variante</w:t>
      </w:r>
    </w:p>
    <w:p>
      <w:pPr>
        <w:pStyle w:val="Variante"/>
      </w:pPr>
      <w:r>
        <w:t xml:space="preserve">Variante : REQUÉRANT NON REPRÉSENTÉ</w:t>
      </w:r>
    </w:p>
    <w:p>
      <w:pPr>
        <w:pStyle w:val="Corps"/>
      </w:pPr>
      <w:r>
        <w:t xml:space="preserve">Le requérant signe et dépose lui-même la requête ; la dispense de ministère d'avocat est contrôlée pour les conclusions effectivement présentées. La matière, la nature des conclusions et les exceptions applicables sont vérifiées avant de retenir cette branche ; l'adresse de notification et les modalités de signature restent celles du requérant.</w:t>
      </w:r>
    </w:p>
    <w:p>
      <w:pPr>
        <w:pStyle w:val="Variante"/>
      </w:pPr>
      <w:r>
        <w:t xml:space="preserve">Variante : REPRÉSENTATION PAR AVOCAT</w:t>
      </w:r>
    </w:p>
    <w:p>
      <w:pPr>
        <w:pStyle w:val="Corps"/>
      </w:pPr>
      <w:r>
        <w:t xml:space="preserve">Le requérant est représenté par [Avocat du requérant], qui signe la requête et assure les transmissions dans le circuit applicable. L'identité professionnelle, le barreau, l'adresse de correspondance et le mandat utile sont contrôlés ; aucune représentation n'est déduite d'un échange préparatoire ou d'une simple consultation.</w:t>
      </w:r>
    </w:p>
    <w:p>
      <w:pPr>
        <w:pStyle w:val="Variante"/>
      </w:pPr>
      <w:r>
        <w:t xml:space="preserve">Variante : MINISTÈRE D'AVOCAT OBLIGATOIRE</w:t>
      </w:r>
    </w:p>
    <w:p>
      <w:pPr>
        <w:pStyle w:val="Corps"/>
      </w:pPr>
      <w:r>
        <w:t xml:space="preserve">Le caractère obligatoire de la représentation est vérifié au regard des conclusions et exceptions applicables ; [Avocat du requérant] est constitué. Le fondement de l'obligation et l'absence d'exception sont consignés ; la constitution de l'avocat concorde avec la requête au fond et le référé distinct.</w:t>
      </w:r>
    </w:p>
    <w:p>
      <w:pPr>
        <w:pStyle w:val="Intertitre"/>
      </w:pPr>
      <w:r>
        <w:t xml:space="preserve">Quelle nature de décision est contestée ? — choisir une seule variante</w:t>
      </w:r>
    </w:p>
    <w:p>
      <w:pPr>
        <w:pStyle w:val="Variante"/>
      </w:pPr>
      <w:r>
        <w:t xml:space="preserve">Variante : DÉCISION INDIVIDUELLE EXPLICITE ATTAQUÉE</w:t>
      </w:r>
    </w:p>
    <w:p>
      <w:pPr>
        <w:pStyle w:val="Corps"/>
      </w:pPr>
      <w:r>
        <w:t xml:space="preserve">Le recours tend à l'annulation de [Référence de la décision], prise le [Date de la décision] et notifiée selon [Preuve de notification]. L'auteur, le destinataire, l'objet, le dispositif et la date de réception sont identifiés afin que la suspension demandée porte exactement sur les effets de l'acte produit.</w:t>
      </w:r>
    </w:p>
    <w:p>
      <w:pPr>
        <w:pStyle w:val="Variante"/>
      </w:pPr>
      <w:r>
        <w:t xml:space="preserve">Variante : ACTE RÉGLEMENTAIRE ATTAQUÉ</w:t>
      </w:r>
    </w:p>
    <w:p>
      <w:pPr>
        <w:pStyle w:val="Corps"/>
      </w:pPr>
      <w:r>
        <w:t xml:space="preserve">Le recours vise [Référence de l'acte réglementaire], publié selon [Preuve de publication], dans le périmètre [Champ de l'acte réglementaire]. Le texte publié, sa date d'entrée en vigueur, les dispositions précisément contestées et leurs effets actuels sont individualisés ; la publication invoquée est rattachée à une preuve accessible.</w:t>
      </w:r>
    </w:p>
    <w:p>
      <w:pPr>
        <w:pStyle w:val="Variante"/>
      </w:pPr>
      <w:r>
        <w:t xml:space="preserve">Variante : DÉCISION IMPLICITE ATTAQUÉE</w:t>
      </w:r>
    </w:p>
    <w:p>
      <w:pPr>
        <w:pStyle w:val="Corps"/>
      </w:pPr>
      <w:r>
        <w:t xml:space="preserve">La demande [Demande adressee à l'administration] a été déposée selon [Preuve de dépôt de la demande] ; la décision implicite est née le [Date de naissance de la décision implicite] sous le régime vérifié. La date de réception de la demande, le régime du silence, le terme du délai et les échanges ultérieurs sont établis pour identifier sans approximation la décision et sa date de naissance.</w:t>
      </w:r>
    </w:p>
    <w:p>
      <w:pPr>
        <w:pStyle w:val="Variante"/>
      </w:pPr>
      <w:r>
        <w:t xml:space="preserve">Variante : REFUS EXPLICITE ATTAQUÉ</w:t>
      </w:r>
    </w:p>
    <w:p>
      <w:pPr>
        <w:pStyle w:val="Corps"/>
      </w:pPr>
      <w:r>
        <w:t xml:space="preserve">Le recours vise le refus [Référence du refus], dont la notification est [Preuve de notification] et dont le périmètre est [Périmètre de l'annulation]. L'auteur, l'objet de la demande refusée, le dispositif, les motifs et la date de réception sont distingués, puis reliés au périmètre exact dont la suspension est demandée.</w:t>
      </w:r>
    </w:p>
    <w:p>
      <w:pPr>
        <w:pStyle w:val="Variante"/>
      </w:pPr>
      <w:r>
        <w:t xml:space="preserve">Variante : MESURE DE DROIT SOUPLE CONTESTÉE</w:t>
      </w:r>
    </w:p>
    <w:p>
      <w:pPr>
        <w:pStyle w:val="Corps"/>
      </w:pPr>
      <w:r>
        <w:t xml:space="preserve">La mesure contestée est [Mesure de droit souple]. Sa recevabilité comme acte susceptible de recours est exposée dans [Recevabilité de l'acte de droit souple]. L'analyse expose la portée, les effets notables ou l'influence concrète de la mesure et justifie séparément son caractère attaquable avant d'aborder l'urgence et le doute sérieux.</w:t>
      </w:r>
    </w:p>
    <w:p>
      <w:pPr>
        <w:pStyle w:val="Intertitre"/>
      </w:pPr>
      <w:r>
        <w:t xml:space="preserve">Clause optionnelle : PRODUCTION DE L'ACTE ATTAQUÉ</w:t>
      </w:r>
    </w:p>
    <w:p>
      <w:pPr>
        <w:pStyle w:val="Corps"/>
      </w:pPr>
      <w:r>
        <w:t xml:space="preserve">La requête est accompagnée de [Copie de l'acte attaqué] ; toute impossibilité de production est expliquée et justifiée. Le numéro de pièce, la version complète, les annexes, la signature, la date et la preuve de notification concordent avec les références utilisées dans les faits, moyens et conclusions.</w:t>
      </w:r>
    </w:p>
    <w:p>
      <w:pPr>
        <w:pStyle w:val="Intertitre"/>
      </w:pPr>
      <w:r>
        <w:t xml:space="preserve">Sur quelle qualité repose l'intérêt pour agir ? — choisir une seule variante</w:t>
      </w:r>
    </w:p>
    <w:p>
      <w:pPr>
        <w:pStyle w:val="Variante"/>
      </w:pPr>
      <w:r>
        <w:t xml:space="preserve">Variante : INTÉRÊT PERSONNEL À AGIR</w:t>
      </w:r>
    </w:p>
    <w:p>
      <w:pPr>
        <w:pStyle w:val="Corps"/>
      </w:pPr>
      <w:r>
        <w:t xml:space="preserve">L'intérêt direct et suffisamment certain du requérant résulte de [Intérêt personnel à agir] et des pièces correspondantes. La requête explique concrètement comment l'exécution affecte la situation du requérant, à quelle échéance et avec quelle intensité, sans confondre intérêt pour agir et condition d'urgence.</w:t>
      </w:r>
    </w:p>
    <w:p>
      <w:pPr>
        <w:pStyle w:val="Variante"/>
      </w:pPr>
      <w:r>
        <w:t xml:space="preserve">Variante : INTÉRÊT À AGIR DE L'ASSOCIATION</w:t>
      </w:r>
    </w:p>
    <w:p>
      <w:pPr>
        <w:pStyle w:val="Corps"/>
      </w:pPr>
      <w:r>
        <w:t xml:space="preserve">L'objet et le champ de l'association sont [Objet et champ de l'association] ; l'atteinte aux intérêts défendus est [Intérêt de l'association]. Les statuts en vigueur, le ressort, l'objet social, la décision d'agir et la situation défendue sont comparés à l'acte pour démontrer un intérêt suffisamment direct.</w:t>
      </w:r>
    </w:p>
    <w:p>
      <w:pPr>
        <w:pStyle w:val="Variante"/>
      </w:pPr>
      <w:r>
        <w:t xml:space="preserve">Variante : INTÉRÊT À AGIR D'UNE PERSONNE PUBLIQUE</w:t>
      </w:r>
    </w:p>
    <w:p>
      <w:pPr>
        <w:pStyle w:val="Corps"/>
      </w:pPr>
      <w:r>
        <w:t xml:space="preserve">La compétence, l'intérêt et l'autorisation d'agir sont établis par [Intérêt de la personne publique]. La compétence de la personne publique, la délibération ou décision autorisant l'action, l'intérêt institutionnel affecté et la qualité du représentant sont vérifiés séparément.</w:t>
      </w:r>
    </w:p>
    <w:p>
      <w:pPr>
        <w:pStyle w:val="Variante"/>
      </w:pPr>
      <w:r>
        <w:t xml:space="preserve">Variante : AUTRE QUALITÉ POUR AGIR</w:t>
      </w:r>
    </w:p>
    <w:p>
      <w:pPr>
        <w:pStyle w:val="Corps"/>
      </w:pPr>
      <w:r>
        <w:t xml:space="preserve">La qualité et l'intérêt invoqués reposent sur [Autre qualité pour agir], après contrôle du fondement et des pièces. Le fondement retenu est appliqué aux faits propres au requérant, avec l'acte ou le pouvoir qui établit sa qualité et l'explication de l'atteinte invoquée.</w:t>
      </w:r>
    </w:p>
    <w:p>
      <w:pPr>
        <w:pStyle w:val="Intertitre"/>
      </w:pPr>
      <w:r>
        <w:t xml:space="preserve">Quel canal de dépôt est autorisé ? — choisir une seule variante</w:t>
      </w:r>
    </w:p>
    <w:p>
      <w:pPr>
        <w:pStyle w:val="Variante"/>
      </w:pPr>
      <w:r>
        <w:t xml:space="preserve">Variante : DÉPÔT PAR TÉLÉRECOURS</w:t>
      </w:r>
    </w:p>
    <w:p>
      <w:pPr>
        <w:pStyle w:val="Corps"/>
      </w:pPr>
      <w:r>
        <w:t xml:space="preserve">La requête et les pièces sont transmises par l'application imposée aux avocats et personnes concernées ; la preuve du dépôt est [Preuve du dépôt]. L'inventaire, l'horodatage, le numéro d'enregistrement et l'intégrité de chaque fichier sont contrôlés ; la mention référé et le signalement de l'urgence figurent dans la transmission.</w:t>
      </w:r>
    </w:p>
    <w:p>
      <w:pPr>
        <w:pStyle w:val="Variante"/>
      </w:pPr>
      <w:r>
        <w:t xml:space="preserve">Variante : DÉPÔT PAR TÉLÉRECOURS CITOYENS</w:t>
      </w:r>
    </w:p>
    <w:p>
      <w:pPr>
        <w:pStyle w:val="Corps"/>
      </w:pPr>
      <w:r>
        <w:t xml:space="preserve">Le requérant non représenté utilise le téléservice autorisé ; la preuve du dépôt et l'inventaire des fichiers sont [Preuve du dépôt]. L'éligibilité au téléservice, les récépissés, la liste des fichiers et l'horodatage sont conservés ; les intitulés distinguent clairement la requête au fond du référé-suspension.</w:t>
      </w:r>
    </w:p>
    <w:p>
      <w:pPr>
        <w:pStyle w:val="Variante"/>
      </w:pPr>
      <w:r>
        <w:t xml:space="preserve">Variante : DÉPÔT PAPIER AUTORISÉ</w:t>
      </w:r>
    </w:p>
    <w:p>
      <w:pPr>
        <w:pStyle w:val="Corps"/>
      </w:pPr>
      <w:r>
        <w:t xml:space="preserve">La possibilité d'un dépôt papier est vérifiée pour le requérant et la procédure ; la preuve du dépôt est [Preuve du dépôt]. Le nombre d'exemplaires, le mode d'envoi, la date de réception et l'inventaire des pièces sont justifiés, avec la mention référé et la preuve de l'urgence signalée.</w:t>
      </w:r>
    </w:p>
    <w:p>
      <w:pPr>
        <w:pStyle w:val="Intertitre"/>
      </w:pPr>
      <w:r>
        <w:t xml:space="preserve">EXPOSÉ DES FAITS</w:t>
      </w:r>
    </w:p>
    <w:p>
      <w:pPr>
        <w:pStyle w:val="Corps"/>
      </w:pPr>
      <w:r>
        <w:t xml:space="preserve">Les faits utiles sont présentés chronologiquement dans [Chronologie des faits], sans allégation non rattachée à une pièce. Chaque événement indique son auteur, sa date, son objet, sa conséquence et sa pièce ; les faits sans incidence sur l'urgence, la légalité ou le dispositif sont écartés.</w:t>
      </w:r>
    </w:p>
    <w:p>
      <w:pPr>
        <w:pStyle w:val="Intertitre"/>
      </w:pPr>
      <w:r>
        <w:t xml:space="preserve">PROCÉDURE ADMINISTRATIVE PRÉALABLE</w:t>
      </w:r>
    </w:p>
    <w:p>
      <w:pPr>
        <w:pStyle w:val="Corps"/>
      </w:pPr>
      <w:r>
        <w:t xml:space="preserve">La procédure ayant conduit à l'acte attaqué est retracée dans [Procédure administrative] avec les échanges et formalités vérifiés. La présentation distingue demande initiale, consultations, contradictoire, avis, échanges, décision et recours éventuels, en indiquant pour chaque étape sa date et sa preuve.</w:t>
      </w:r>
    </w:p>
    <w:p>
      <w:pPr>
        <w:pStyle w:val="Intertitre"/>
      </w:pPr>
      <w:r>
        <w:t xml:space="preserve">MOTIFS DE LA DÉCISION</w:t>
      </w:r>
    </w:p>
    <w:p>
      <w:pPr>
        <w:pStyle w:val="Corps"/>
      </w:pPr>
      <w:r>
        <w:t xml:space="preserve">Les motifs de droit et de fait effectivement retenus sont reproduits et analysés dans [Motifs de la décision]. La requête sépare les motifs expressément énoncés des justifications apparues ensuite et confronte chaque motif aux faits établis et à la règle de droit effectivement applicable.</w:t>
      </w:r>
    </w:p>
    <w:p>
      <w:pPr>
        <w:pStyle w:val="Intertitre"/>
      </w:pPr>
      <w:r>
        <w:t xml:space="preserve">ARTICULATION DES FAITS, MOYENS ET PIÈCES</w:t>
      </w:r>
    </w:p>
    <w:p>
      <w:pPr>
        <w:pStyle w:val="Corps"/>
      </w:pPr>
      <w:r>
        <w:t xml:space="preserve">La matrice [Matrice moyens-pièces] relie chaque fait, moyen et conclusion aux pièces numérotées correspondantes. Pour chaque affirmation décisive, elle mentionne le numéro, l'intitulé et la proposition prouvée ; une pièce manquante ou discutée est signalée au lieu d'être tenue pour acquise.</w:t>
      </w:r>
    </w:p>
    <w:p>
      <w:pPr>
        <w:pStyle w:val="Intertitre"/>
      </w:pPr>
      <w:r>
        <w:t xml:space="preserve">Comment la requête au fond distincte est-elle déposée ? — choisir une seule variante</w:t>
      </w:r>
    </w:p>
    <w:p>
      <w:pPr>
        <w:pStyle w:val="Variante"/>
      </w:pPr>
      <w:r>
        <w:t xml:space="preserve">Variante : REQUÊTE AU FOND DÉJÀ DÉPOSÉE</w:t>
      </w:r>
    </w:p>
    <w:p>
      <w:pPr>
        <w:pStyle w:val="Corps"/>
      </w:pPr>
      <w:r>
        <w:t xml:space="preserve">La décision fait l'objet de la requête distincte [Référence de la requête au fond], dont la copie complète [Copie de la requête au fond] est jointe. La juridiction, la date et la preuve de dépôt sont indiquées ; l'acte attaqué et les conclusions au fond concordent exactement avec ceux visés par la demande de suspension.</w:t>
      </w:r>
    </w:p>
    <w:p>
      <w:pPr>
        <w:pStyle w:val="Variante"/>
      </w:pPr>
      <w:r>
        <w:t xml:space="preserve">Variante : DÉPÔTS CONCOMITANTS ET DISTINCTS</w:t>
      </w:r>
    </w:p>
    <w:p>
      <w:pPr>
        <w:pStyle w:val="Corps"/>
      </w:pPr>
      <w:r>
        <w:t xml:space="preserve">La requête au fond et la présente requête sont déposées comme deux actes distincts selon [Dépôts concomitants distincts] ; la copie [Copie de la requête au fond] est jointe. Le plan garantit deux actes autonomes, deux intitulés non ambigus et une transmission permettant d'identifier leur lien ; la requête au fond est déposée au plus tard avec le référé.</w:t>
      </w:r>
    </w:p>
    <w:p>
      <w:pPr>
        <w:pStyle w:val="Intertitre"/>
      </w:pPr>
      <w:r>
        <w:t xml:space="preserve">Clause optionnelle : COPIE DE LA REQUÊTE AU FOND</w:t>
      </w:r>
    </w:p>
    <w:p>
      <w:pPr>
        <w:pStyle w:val="Corps"/>
      </w:pPr>
      <w:r>
        <w:t xml:space="preserve">La pièce jointe [Copie de la requête au fond] correspond à la requête distincte en annulation ou réformation visée dans le référé. La copie est complète, datée et identique à la version déposée ou simultanément transmise ; son acte attaqué, ses moyens et ses conclusions sont vérifiés par concordance.</w:t>
      </w:r>
    </w:p>
    <w:p>
      <w:pPr>
        <w:pStyle w:val="Intertitre"/>
      </w:pPr>
      <w:r>
        <w:t xml:space="preserve">CARACTÈRE PROVISOIRE DE LA DEMANDE</w:t>
      </w:r>
    </w:p>
    <w:p>
      <w:pPr>
        <w:pStyle w:val="Corps"/>
      </w:pPr>
      <w:r>
        <w:t xml:space="preserve">La demande porte uniquement sur une mesure provisoire et ne sollicite pas du juge des référés qu'il tranche le principal. Le dispositif ne prononce aucune annulation, indemnisation ou obligation définitive ; chaque mesure accessoire est limitée dans son objet, sa durée et ses effets à ce qu'exige l'attente du jugement au fond.</w:t>
      </w:r>
    </w:p>
    <w:p>
      <w:pPr>
        <w:pStyle w:val="Intertitre"/>
      </w:pPr>
      <w:r>
        <w:t xml:space="preserve">La suspension demandée est-elle totale ou partielle ? — choisir une seule variante</w:t>
      </w:r>
    </w:p>
    <w:p>
      <w:pPr>
        <w:pStyle w:val="Variante"/>
      </w:pPr>
      <w:r>
        <w:t xml:space="preserve">Variante : SUSPENSION TOTALE DEMANDÉE</w:t>
      </w:r>
    </w:p>
    <w:p>
      <w:pPr>
        <w:pStyle w:val="Corps"/>
      </w:pPr>
      <w:r>
        <w:t xml:space="preserve">La suspension est demandée pour l'ensemble des effets définis dans [Périmètre de la suspension], jusqu'à ce qu'il soit statué au fond. Le dispositif de la décision, ses destinataires et ses effets en cours sont recensés pour éviter qu'une formule générale n'étende la suspension à des mesures distinctes ou déjà entièrement exécutées.</w:t>
      </w:r>
    </w:p>
    <w:p>
      <w:pPr>
        <w:pStyle w:val="Variante"/>
      </w:pPr>
      <w:r>
        <w:t xml:space="preserve">Variante : SUSPENSION PARTIELLE DEMANDÉE</w:t>
      </w:r>
    </w:p>
    <w:p>
      <w:pPr>
        <w:pStyle w:val="Corps"/>
      </w:pPr>
      <w:r>
        <w:t xml:space="preserve">La suspension est limitée aux effets [Périmètre de la suspension] dont l'autonomie est établie dans [Divisibilité des effets]. Les dispositions ou effets visés sont désignés sans ambiguïté ; leur divisibilité est démontrée et les conséquences du maintien du surplus sont expliquées dans le dispositif.</w:t>
      </w:r>
    </w:p>
    <w:p>
      <w:pPr>
        <w:pStyle w:val="Intertitre"/>
      </w:pPr>
      <w:r>
        <w:t xml:space="preserve">ÉTAT D'EXÉCUTION DE LA DÉCISION</w:t>
      </w:r>
    </w:p>
    <w:p>
      <w:pPr>
        <w:pStyle w:val="Corps"/>
      </w:pPr>
      <w:r>
        <w:t xml:space="preserve">Les actes déjà accomplis, les effets encore susceptibles d'être suspendus et le calendrier sont décrits dans [État d'exécution]. L'analyse distingue les effets consommés, continus et futurs, indique leurs échéances et précise en quoi une ordonnance conserve une utilité concrète malgré les actes déjà accomplis.</w:t>
      </w:r>
    </w:p>
    <w:p>
      <w:pPr>
        <w:pStyle w:val="Intertitre"/>
      </w:pPr>
      <w:r>
        <w:t xml:space="preserve">Quelle situation caractérise principalement l'urgence ? — choisir une seule variante</w:t>
      </w:r>
    </w:p>
    <w:p>
      <w:pPr>
        <w:pStyle w:val="Variante"/>
      </w:pPr>
      <w:r>
        <w:t xml:space="preserve">Variante : URGENCE TENANT À LA SITUATION PERSONNELLE</w:t>
      </w:r>
    </w:p>
    <w:p>
      <w:pPr>
        <w:pStyle w:val="Corps"/>
      </w:pPr>
      <w:r>
        <w:t xml:space="preserve">Les atteintes graves et immédiates à la situation du requérant sont établies dans [Urgence personnelle]. La nature de l'atteinte, sa date de réalisation, sa durée et son caractère difficilement réparable sont comparés à la situation actuelle du requérant et au délai prévisible du fond.</w:t>
      </w:r>
    </w:p>
    <w:p>
      <w:pPr>
        <w:pStyle w:val="Variante"/>
      </w:pPr>
      <w:r>
        <w:t xml:space="preserve">Variante : URGENCE ÉCONOMIQUE</w:t>
      </w:r>
    </w:p>
    <w:p>
      <w:pPr>
        <w:pStyle w:val="Corps"/>
      </w:pPr>
      <w:r>
        <w:t xml:space="preserve">Les conséquences graves et immédiates sur l'activité ou sa continuité sont établies dans [Urgence économique]. Les flux, échéances, charges, capacités de financement et conséquences opérationnelles sont étayés par des pièces contemporaines ; une difficulté seulement hypothétique ou chiffrée sans source est écartée.</w:t>
      </w:r>
    </w:p>
    <w:p>
      <w:pPr>
        <w:pStyle w:val="Variante"/>
      </w:pPr>
      <w:r>
        <w:t xml:space="preserve">Variante : URGENCE TENANT À UN INTÉRÊT PUBLIC</w:t>
      </w:r>
    </w:p>
    <w:p>
      <w:pPr>
        <w:pStyle w:val="Corps"/>
      </w:pPr>
      <w:r>
        <w:t xml:space="preserve">L'intérêt public affecté et les conséquences d'une exécution immédiate sont établis dans [Urgence liée à l'intérêt public]. La requête identifie l'intérêt public concret, les personnes ou services concernés, le calendrier du dommage et la raison pour laquelle l'exécution immédiate compromet cet intérêt avant le jugement au fond.</w:t>
      </w:r>
    </w:p>
    <w:p>
      <w:pPr>
        <w:pStyle w:val="Variante"/>
      </w:pPr>
      <w:r>
        <w:t xml:space="preserve">Variante : URGENCE TENANT À DES INTÉRÊTS COLLECTIFS</w:t>
      </w:r>
    </w:p>
    <w:p>
      <w:pPr>
        <w:pStyle w:val="Corps"/>
      </w:pPr>
      <w:r>
        <w:t xml:space="preserve">Les intérêts collectifs défendus et les effets graves et immédiats sont établis dans [Urgence collective]. Le groupe concerné, la représentativité du requérant, l'étendue des effets et leur échéance sont précisés, avec des preuves permettant d'éviter une urgence abstraite ou seulement générale.</w:t>
      </w:r>
    </w:p>
    <w:p>
      <w:pPr>
        <w:pStyle w:val="Variante"/>
      </w:pPr>
      <w:r>
        <w:t xml:space="preserve">Variante : URGENCE ENVIRONNEMENTALE</w:t>
      </w:r>
    </w:p>
    <w:p>
      <w:pPr>
        <w:pStyle w:val="Corps"/>
      </w:pPr>
      <w:r>
        <w:t xml:space="preserve">Les atteintes imminentes ou difficilement réversibles sont établies dans [Urgence environnementale] avec leurs preuves techniques. La localisation, la nature du milieu, le commencement prévisible des travaux ou effets, leur durée et leur réversibilité sont reliés aux constats, études et calendriers disponibles.</w:t>
      </w:r>
    </w:p>
    <w:p>
      <w:pPr>
        <w:pStyle w:val="Variante"/>
      </w:pPr>
      <w:r>
        <w:t xml:space="preserve">Variante : AUTRE URGENCE VÉRIFIÉE</w:t>
      </w:r>
    </w:p>
    <w:p>
      <w:pPr>
        <w:pStyle w:val="Corps"/>
      </w:pPr>
      <w:r>
        <w:t xml:space="preserve">La gravité, l'immédiateté, le calendrier et les preuves de l'urgence sont exposés dans [Autre urgence vérifiée]. L'analyse confronte la conséquence invoquée à sa date certaine, à sa gravité concrète, au temps nécessaire pour statuer au fond et aux intérêts publics ou privés opposés.</w:t>
      </w:r>
    </w:p>
    <w:p>
      <w:pPr>
        <w:pStyle w:val="Intertitre"/>
      </w:pPr>
      <w:r>
        <w:t xml:space="preserve">CALENDRIER DE L'URGENCE</w:t>
      </w:r>
    </w:p>
    <w:p>
      <w:pPr>
        <w:pStyle w:val="Corps"/>
      </w:pPr>
      <w:r>
        <w:t xml:space="preserve">Le calendrier [Calendrier de l'urgence] rapproche chaque effet annoncé de sa date, de sa preuve et du délai prévisible du jugement au fond. Il distingue la notification, le début d'exécution, les échéances irréversibles, la saisine au fond, le dépôt du référé et la date prévisible à laquelle la suspension perdrait son utilité.</w:t>
      </w:r>
    </w:p>
    <w:p>
      <w:pPr>
        <w:pStyle w:val="Intertitre"/>
      </w:pPr>
      <w:r>
        <w:t xml:space="preserve">Clause optionnelle : PIÈCES ÉTABLISSANT L'URGENCE</w:t>
      </w:r>
    </w:p>
    <w:p>
      <w:pPr>
        <w:pStyle w:val="Corps"/>
      </w:pPr>
      <w:r>
        <w:t xml:space="preserve">Les pièces contemporaines recensées dans [Preuves de l'urgence] établissent la gravité, l'immédiateté et la persistance des effets. Pour chaque pièce sont indiqués sa date, son auteur, son objet et le fait qu'elle établit ; les documents anciens, incomplets ou contredits sont expressément qualifiés.</w:t>
      </w:r>
    </w:p>
    <w:p>
      <w:pPr>
        <w:pStyle w:val="Intertitre"/>
      </w:pPr>
      <w:r>
        <w:t xml:space="preserve">RÉVERSIBILITÉ DES EFFETS</w:t>
      </w:r>
    </w:p>
    <w:p>
      <w:pPr>
        <w:pStyle w:val="Corps"/>
      </w:pPr>
      <w:r>
        <w:t xml:space="preserve">La possibilité de réparer ultérieurement les conséquences et le risque de perte d'effet utile sont analysés dans [Réversibilité des effets]. L'analyse compare les effets d'une exécution immédiate, les possibilités de restitution ou réparation et l'efficacité d'un jugement ultérieur, sans assimiler automatiquement coût ou gêne à irréversibilité.</w:t>
      </w:r>
    </w:p>
    <w:p>
      <w:pPr>
        <w:pStyle w:val="Intertitre"/>
      </w:pPr>
      <w:r>
        <w:t xml:space="preserve">Clause optionnelle : BALANCE DES INTÉRÊTS EN PRÉSENCE</w:t>
      </w:r>
    </w:p>
    <w:p>
      <w:pPr>
        <w:pStyle w:val="Corps"/>
      </w:pPr>
      <w:r>
        <w:t xml:space="preserve">Les intérêts du requérant, l'intérêt public et les droits des tiers sont rapprochés dans [Intérêts opposés]. La comparaison identifie les effets d'une suspension et d'un refus de suspension sur chaque intérêt, leur durée respective et les mesures permettant de limiter les conséquences pour les tiers.</w:t>
      </w:r>
    </w:p>
    <w:p>
      <w:pPr>
        <w:pStyle w:val="Intertitre"/>
      </w:pPr>
      <w:r>
        <w:t xml:space="preserve">Clause optionnelle : DILIGENCES DU REQUÉRANT</w:t>
      </w:r>
    </w:p>
    <w:p>
      <w:pPr>
        <w:pStyle w:val="Corps"/>
      </w:pPr>
      <w:r>
        <w:t xml:space="preserve">Les diligences et délais du requérant sont exposés dans [Comportement du requérant] afin d'apprécier objectivement l'urgence. La chronologie explique toute période d'attente, les démarches entreprises et les informations nouvellement connues, afin que le comportement du requérant soit apprécié avec le calendrier réel de l'exécution.</w:t>
      </w:r>
    </w:p>
    <w:p>
      <w:pPr>
        <w:pStyle w:val="Intertitre"/>
      </w:pPr>
      <w:r>
        <w:t xml:space="preserve">Clause optionnelle : SYNTHÈSE DE LA CONDITION D'URGENCE</w:t>
      </w:r>
    </w:p>
    <w:p>
      <w:pPr>
        <w:pStyle w:val="Corps"/>
      </w:pPr>
      <w:r>
        <w:t xml:space="preserve">La démonstration complète de l'urgence figure dans [Synthèse de l'urgence] au regard de l'ensemble des circonstances et pièces. La synthèse conclut à partir des faits datés et des pièces citées, puis répond aux intérêts opposés et explique pourquoi une décision au fond interviendrait trop tard pour préserver l'effet utile.</w:t>
      </w:r>
    </w:p>
    <w:p>
      <w:pPr>
        <w:pStyle w:val="Intertitre"/>
      </w:pPr>
      <w:r>
        <w:t xml:space="preserve">Clause optionnelle : DOUTE SÉRIEUX — INCOMPÉTENCE DE L'AUTEUR</w:t>
      </w:r>
    </w:p>
    <w:p>
      <w:pPr>
        <w:pStyle w:val="Corps"/>
      </w:pPr>
      <w:r>
        <w:t xml:space="preserve">La compétence de l'auteur est contestée au regard de [Moyen d'incompétence]. Le moyen identifie l'autorité compétente, l'éventuelle délégation, son champ matériel et temporel, sa publicité et l'incidence du vice sur la décision. Les faits sont ensuite appliqués à la règle de compétence invoquée et le moyen conclut sur la conséquence précise du vice pour la légalité de l'acte et le doute sérieux.</w:t>
      </w:r>
    </w:p>
    <w:p>
      <w:pPr>
        <w:pStyle w:val="Intertitre"/>
      </w:pPr>
      <w:r>
        <w:t xml:space="preserve">Clause optionnelle : DOUTE SÉRIEUX — SIGNATURE ET QUALITÉ DE L'AUTEUR</w:t>
      </w:r>
    </w:p>
    <w:p>
      <w:pPr>
        <w:pStyle w:val="Corps"/>
      </w:pPr>
      <w:r>
        <w:t xml:space="preserve">La signature et la qualité de l'auteur sont discutées dans [Moyen relatif à la signature]. Sont distingués l'identité du signataire, son titre, la délégation invoquée, la date de signature et les mentions permettant d'en vérifier l'authenticité. L'application au document produit précise la mention absente, irrégulière ou non justifiée et expose pourquoi cette irrégularité est susceptible d'affecter la légalité de la décision.</w:t>
      </w:r>
    </w:p>
    <w:p>
      <w:pPr>
        <w:pStyle w:val="Intertitre"/>
      </w:pPr>
      <w:r>
        <w:t xml:space="preserve">Clause optionnelle : DOUTE SÉRIEUX — INSUFFISANCE OU ABSENCE DE MOTIVATION</w:t>
      </w:r>
    </w:p>
    <w:p>
      <w:pPr>
        <w:pStyle w:val="Corps"/>
      </w:pPr>
      <w:r>
        <w:t xml:space="preserve">L'insuffisance ou l'absence de motivation est développée dans [Moyen relatif à la motivation] en confrontant les exigences applicables aux considérations de droit et de fait effectivement portées à la connaissance du requérant. Le développement cite le motif manquant ou insuffisant, applique l'exigence à la catégorie de décision et conclut sur l'incidence exacte de la carence alléguée.</w:t>
      </w:r>
    </w:p>
    <w:p>
      <w:pPr>
        <w:pStyle w:val="Intertitre"/>
      </w:pPr>
      <w:r>
        <w:t xml:space="preserve">Clause optionnelle : DOUTE SÉRIEUX — MÉCONNAISSANCE DU CONTRADICTOIRE</w:t>
      </w:r>
    </w:p>
    <w:p>
      <w:pPr>
        <w:pStyle w:val="Corps"/>
      </w:pPr>
      <w:r>
        <w:t xml:space="preserve">La méconnaissance du contradictoire est exposée dans [Moyen relatif au contradictoire]. Le moyen précise la garantie applicable, les informations communiquées, le délai laissé pour répondre et les observations dont l'autorité n'a pas tenu compte. La règle est appliquée à la chronologie et aux pièces de communication ; la conclusion distingue l'absence de formalité, le délai insuffisant et l'impossibilité effective de présenter des observations utiles.</w:t>
      </w:r>
    </w:p>
    <w:p>
      <w:pPr>
        <w:pStyle w:val="Intertitre"/>
      </w:pPr>
      <w:r>
        <w:t xml:space="preserve">Clause optionnelle : DOUTE SÉRIEUX — IRRÉGULARITÉ D'UNE CONSULTATION</w:t>
      </w:r>
    </w:p>
    <w:p>
      <w:pPr>
        <w:pStyle w:val="Corps"/>
      </w:pPr>
      <w:r>
        <w:t xml:space="preserve">L'irrégularité de la consultation est détaillée dans [Moyen relatif aux consultations] au regard de l'organisme compétent, de sa composition, de sa convocation, des documents transmis, de l'avis rendu et de l'incidence du vice. Le moyen confronte chaque exigence au procès-verbal, aux convocations et à l'avis produit, puis qualifie l'incidence concrète de l'irrégularité sur la garantie ou le sens de la décision.</w:t>
      </w:r>
    </w:p>
    <w:p>
      <w:pPr>
        <w:pStyle w:val="Intertitre"/>
      </w:pPr>
      <w:r>
        <w:t xml:space="preserve">Clause optionnelle : DOUTE SÉRIEUX — IRRÉGULARITÉ DE LA PARTICIPATION DU PUBLIC</w:t>
      </w:r>
    </w:p>
    <w:p>
      <w:pPr>
        <w:pStyle w:val="Corps"/>
      </w:pPr>
      <w:r>
        <w:t xml:space="preserve">La procédure de participation du public est contestée dans [Moyen relatif à la participation du public]. Le moyen précise son champ, les modalités d'information et de recueil, les observations pertinentes et la manière dont elles ont été prises en considération. L'application relie les omissions constatées aux pièces de la procédure et conclut sur la garantie affectée ou l'influence possible du vice, sans supposer cette incidence.</w:t>
      </w:r>
    </w:p>
    <w:p>
      <w:pPr>
        <w:pStyle w:val="Intertitre"/>
      </w:pPr>
      <w:r>
        <w:t xml:space="preserve">Clause optionnelle : DOUTE SÉRIEUX — AUTRE VICE DE FORME OU DE PROCÉDURE</w:t>
      </w:r>
    </w:p>
    <w:p>
      <w:pPr>
        <w:pStyle w:val="Corps"/>
      </w:pPr>
      <w:r>
        <w:t xml:space="preserve">L'autre vice de forme ou de procédure est individualisé dans [Autre moyen de légalité externe] avec la formalité exigée, son objet, les faits établissant sa méconnaissance, la garantie affectée et son incidence. Le développement suit une séquence complète : texte applicable, formalité exigée, fait vérifié, application au dossier, incidence du vice et conclusion sur le doute sérieux.</w:t>
      </w:r>
    </w:p>
    <w:p>
      <w:pPr>
        <w:pStyle w:val="Intertitre"/>
      </w:pPr>
      <w:r>
        <w:t xml:space="preserve">Clause optionnelle : DOUTE SÉRIEUX — INCIDENCE DU VICE DE PROCÉDURE</w:t>
      </w:r>
    </w:p>
    <w:p>
      <w:pPr>
        <w:pStyle w:val="Corps"/>
      </w:pPr>
      <w:r>
        <w:t xml:space="preserve">L'influence sur le sens de la décision ou la privation d'une garantie est analysée dans [Incidence du vice de procédure]. L'analyse identifie la garantie concrètement protégée, les observations ou informations dont l'intéressé a été privé et, séparément, l'influence possible sur le sens de la décision.</w:t>
      </w:r>
    </w:p>
    <w:p>
      <w:pPr>
        <w:pStyle w:val="Intertitre"/>
      </w:pPr>
      <w:r>
        <w:t xml:space="preserve">Clause optionnelle : DOUTE SÉRIEUX — ERREUR DE DROIT</w:t>
      </w:r>
    </w:p>
    <w:p>
      <w:pPr>
        <w:pStyle w:val="Corps"/>
      </w:pPr>
      <w:r>
        <w:t xml:space="preserve">L'erreur de droit est développée dans [Erreur de droit] en identifiant la norme applicable, l'interprétation retenue par l'administration, l'interprétation soutenue et son effet sur le dispositif attaqué. Le moyen cite la version temporelle de la norme, applique son champ aux faits vérifiés et conclut sur le motif ou le dispositif que l'erreur a déterminé.</w:t>
      </w:r>
    </w:p>
    <w:p>
      <w:pPr>
        <w:pStyle w:val="Intertitre"/>
      </w:pPr>
      <w:r>
        <w:t xml:space="preserve">Clause optionnelle : DOUTE SÉRIEUX — INEXACTITUDE MATÉRIELLE DES FAITS</w:t>
      </w:r>
    </w:p>
    <w:p>
      <w:pPr>
        <w:pStyle w:val="Corps"/>
      </w:pPr>
      <w:r>
        <w:t xml:space="preserve">L'inexactitude matérielle des faits est établie dans [Inexactitude matérielle] par la confrontation de chaque fait retenu aux pièces contemporaines, aux contradictions du dossier et aux éléments omis. Chaque divergence est présentée avec l'allégation de la décision, la pièce qui la contredit, la date pertinente et la conséquence de l'erreur sur le raisonnement administratif.</w:t>
      </w:r>
    </w:p>
    <w:p>
      <w:pPr>
        <w:pStyle w:val="Intertitre"/>
      </w:pPr>
      <w:r>
        <w:t xml:space="preserve">Clause optionnelle : DOUTE SÉRIEUX — ERREUR DE QUALIFICATION JURIDIQUE</w:t>
      </w:r>
    </w:p>
    <w:p>
      <w:pPr>
        <w:pStyle w:val="Corps"/>
      </w:pPr>
      <w:r>
        <w:t xml:space="preserve">L'erreur de qualification juridique est exposée dans [Qualification juridique des faits] en distinguant les faits constants, les critères de qualification et la conséquence juridique qui aurait dû en être tirée. Le développement applique successivement chaque critère légal aux faits établis, traite les éléments contraires et conclut sur la qualification qui aurait dû être retenue.</w:t>
      </w:r>
    </w:p>
    <w:p>
      <w:pPr>
        <w:pStyle w:val="Intertitre"/>
      </w:pPr>
      <w:r>
        <w:t xml:space="preserve">Clause optionnelle : DOUTE SÉRIEUX — ERREUR MANIFESTE D'APPRÉCIATION</w:t>
      </w:r>
    </w:p>
    <w:p>
      <w:pPr>
        <w:pStyle w:val="Corps"/>
      </w:pPr>
      <w:r>
        <w:t xml:space="preserve">L'erreur manifeste d'appréciation est soutenue dans [Erreur manifeste d'appréciation] par l'écart entre les circonstances établies, la marge d'appréciation reconnue à l'autorité et les conséquences concrètes de la décision. L'argumentation expose le degré de contrôle demandé, les éléments que l'autorité pouvait prendre en compte et l'écart manifeste entre ces éléments et l'appréciation retenue.</w:t>
      </w:r>
    </w:p>
    <w:p>
      <w:pPr>
        <w:pStyle w:val="Intertitre"/>
      </w:pPr>
      <w:r>
        <w:t xml:space="preserve">Clause optionnelle : DOUTE SÉRIEUX — CONTRÔLE DE PROPORTIONNALITÉ</w:t>
      </w:r>
    </w:p>
    <w:p>
      <w:pPr>
        <w:pStyle w:val="Corps"/>
      </w:pPr>
      <w:r>
        <w:t xml:space="preserve">Le contrôle de proportionnalité est structuré dans [Proportionnalité] autour de l'objectif poursuivi, de l'aptitude et de la nécessité de la mesure, de ses effets et des solutions moins attentatoires disponibles. Les effets concrets sur le requérant sont mis en balance avec le but d'intérêt général, puis comparés à des mesures moins contraignantes réellement disponibles dans le dossier.</w:t>
      </w:r>
    </w:p>
    <w:p>
      <w:pPr>
        <w:pStyle w:val="Intertitre"/>
      </w:pPr>
      <w:r>
        <w:t xml:space="preserve">Clause optionnelle : DOUTE SÉRIEUX — DÉTOURNEMENT DE POUVOIR</w:t>
      </w:r>
    </w:p>
    <w:p>
      <w:pPr>
        <w:pStyle w:val="Corps"/>
      </w:pPr>
      <w:r>
        <w:t xml:space="preserve">Le détournement de pouvoir est argumenté dans [Détournement de pouvoir] à partir d'indices précis relatifs au but légal de la compétence, au contexte de la décision et au but effectivement poursuivi. Les indices sont datés, convergents et rattachés aux pièces ; le moyen distingue une simple critique d'opportunité de la poursuite alléguée d'un but étranger à la compétence.</w:t>
      </w:r>
    </w:p>
    <w:p>
      <w:pPr>
        <w:pStyle w:val="Intertitre"/>
      </w:pPr>
      <w:r>
        <w:t xml:space="preserve">Clause optionnelle : DOUTE SÉRIEUX — MÉCONNAISSANCE DU PRINCIPE D'ÉGALITÉ</w:t>
      </w:r>
    </w:p>
    <w:p>
      <w:pPr>
        <w:pStyle w:val="Corps"/>
      </w:pPr>
      <w:r>
        <w:t xml:space="preserve">La méconnaissance du principe d'égalité est développée dans [Principe d'égalité] en identifiant les situations comparées, la différence de traitement, son lien avec l'objet de la norme et l'absence de justification pertinente. Le moyen vérifie la comparabilité des situations, la différence de traitement et sa justification, puis explique en quoi cette différence est sans rapport pertinent ou disproportionnée.</w:t>
      </w:r>
    </w:p>
    <w:p>
      <w:pPr>
        <w:pStyle w:val="Intertitre"/>
      </w:pPr>
      <w:r>
        <w:t xml:space="preserve">Clause optionnelle : DOUTE SÉRIEUX — MÉCONNAISSANCE D'UNE NORME SUPÉRIEURE</w:t>
      </w:r>
    </w:p>
    <w:p>
      <w:pPr>
        <w:pStyle w:val="Corps"/>
      </w:pPr>
      <w:r>
        <w:t xml:space="preserve">La méconnaissance d'une norme supérieure est exposée dans [Norme supérieure] en précisant sa valeur, son applicabilité, son effet direct éventuel et l'incompatibilité exacte de la décision contestée. Le développement vérifie la norme invoquée à la date de l'acte, ses conditions d'invocabilité et son application précise aux dispositions ou effets dont la suspension est demandée.</w:t>
      </w:r>
    </w:p>
    <w:p>
      <w:pPr>
        <w:pStyle w:val="Intertitre"/>
      </w:pPr>
      <w:r>
        <w:t xml:space="preserve">Clause optionnelle : DOUTE SÉRIEUX — AUTRE MOYEN DE LÉGALITÉ INTERNE</w:t>
      </w:r>
    </w:p>
    <w:p>
      <w:pPr>
        <w:pStyle w:val="Corps"/>
      </w:pPr>
      <w:r>
        <w:t xml:space="preserve">L'autre moyen de légalité interne est développé dans [Autre moyen de légalité interne] avec sa norme de référence, ses conditions d'application, les faits établis, le contrôle demandé au juge et son incidence sur la décision. La démonstration ne retient aucun fondement générique : elle cite la norme contrôlée, qualifie les faits, répond aux éléments contraires et formule la conséquence exacte sur la légalité.</w:t>
      </w:r>
    </w:p>
    <w:p>
      <w:pPr>
        <w:pStyle w:val="Intertitre"/>
      </w:pPr>
      <w:r>
        <w:t xml:space="preserve">Clause optionnelle : SYNTHÈSE DU DOUTE SÉRIEUX</w:t>
      </w:r>
    </w:p>
    <w:p>
      <w:pPr>
        <w:pStyle w:val="Corps"/>
      </w:pPr>
      <w:r>
        <w:t xml:space="preserve">Les moyens susceptibles de créer un doute sérieux, leur portée et leurs pièces sont hiérarchisés dans [Synthèse du doute sérieux]. La synthèse distingue les moyens autonomes, indique pour chacun la règle, le fait décisif et la pièce, puis explique pourquoi au moins l'un d'eux atteint le seuil du doute sérieux en l'état de l'instruction.</w:t>
      </w:r>
    </w:p>
    <w:p>
      <w:pPr>
        <w:pStyle w:val="Intertitre"/>
      </w:pPr>
      <w:r>
        <w:t xml:space="preserve">PROCÉDURE CONTRADICTOIRE</w:t>
      </w:r>
    </w:p>
    <w:p>
      <w:pPr>
        <w:pStyle w:val="Corps"/>
      </w:pPr>
      <w:r>
        <w:t xml:space="preserve">La requête, les pièces et les observations sont communiquées selon le calendrier fixé ; les réponses utiles sont préparées sans retarder l'urgence. Les délais très brefs, la date de communication, l'accès aux pièces et les productions reçues sont suivis ; toute réponse tardive ou élément nouveau est traité selon les instructions de la juridiction.</w:t>
      </w:r>
    </w:p>
    <w:p>
      <w:pPr>
        <w:pStyle w:val="Intertitre"/>
      </w:pPr>
      <w:r>
        <w:t xml:space="preserve">Clause optionnelle : OBSERVATIONS EN DÉFENSE</w:t>
      </w:r>
    </w:p>
    <w:p>
      <w:pPr>
        <w:pStyle w:val="Corps"/>
      </w:pPr>
      <w:r>
        <w:t xml:space="preserve">Les observations adverses sont analysées dans [Observations en défense] et rapprochées de l'urgence, des moyens et des pièces. Chaque argument est résumé fidèlement, confronté aux faits et aux pièces, puis reçoit une réponse distincte sur la recevabilité, l'urgence, le moyen sérieux ou la portée de la mesure.</w:t>
      </w:r>
    </w:p>
    <w:p>
      <w:pPr>
        <w:pStyle w:val="Intertitre"/>
      </w:pPr>
      <w:r>
        <w:t xml:space="preserve">Clause optionnelle : PRÉPARATION DE L'AUDIENCE</w:t>
      </w:r>
    </w:p>
    <w:p>
      <w:pPr>
        <w:pStyle w:val="Corps"/>
      </w:pPr>
      <w:r>
        <w:t xml:space="preserve">La convocation, les représentants, les points prioritaires et les pièces sont organisés dans [Préparation de l'audience]. La préparation fixe l'ordre des points à plaider, les références de pièces, les réponses aux questions prévisibles et les limites du provisoire ; elle tient compte de la clôture susceptible d'intervenir à l'audience.</w:t>
      </w:r>
    </w:p>
    <w:p>
      <w:pPr>
        <w:pStyle w:val="Intertitre"/>
      </w:pPr>
      <w:r>
        <w:t xml:space="preserve">Clause optionnelle : OBSERVATIONS ORALES</w:t>
      </w:r>
    </w:p>
    <w:p>
      <w:pPr>
        <w:pStyle w:val="Corps"/>
      </w:pPr>
      <w:r>
        <w:t xml:space="preserve">À l'audience, les observations [Observations orales] présentent de manière concise la recevabilité, l'urgence, les moyens propres à créer un doute sérieux et les mesures provisoires demandées. Elles distinguent ce qui est constant, contesté ou nouvellement produit et se terminent par la lecture précise des chefs du dispositif, sans ajouter un moyen ou une pièce non communiqué.</w:t>
      </w:r>
    </w:p>
    <w:p>
      <w:pPr>
        <w:pStyle w:val="Intertitre"/>
      </w:pPr>
      <w:r>
        <w:t xml:space="preserve">PAR CES MOTIFS</w:t>
      </w:r>
    </w:p>
    <w:p>
      <w:pPr>
        <w:pStyle w:val="Corps"/>
      </w:pPr>
      <w:r>
        <w:t xml:space="preserve">Il est demandé au juge des référés de statuer sur les seules mesures provisoires ci-après, sans préjuger le principal. Les chefs sont présentés séparément et dans un ordre opératoire : suspension, éventuelle mesure provisoire, éventuelle astreinte comprise dans cette mesure si son fondement est vérifié, frais et notifications utiles.</w:t>
      </w:r>
    </w:p>
    <w:p>
      <w:pPr>
        <w:pStyle w:val="Intertitre"/>
      </w:pPr>
      <w:r>
        <w:t xml:space="preserve">Clause optionnelle : SUSPENDRE L'EXÉCUTION DE LA DÉCISION</w:t>
      </w:r>
    </w:p>
    <w:p>
      <w:pPr>
        <w:pStyle w:val="Corps"/>
      </w:pPr>
      <w:r>
        <w:t xml:space="preserve">Il est demandé de suspendre l'exécution dans le périmètre exact [Périmètre de la suspension] jusqu'à la décision au fond. Le chef désigne l'acte, son auteur, sa date et l'ensemble exact des effets visés ; il précise le terme légal de la suspension sans demander l'annulation au juge des référés.</w:t>
      </w:r>
    </w:p>
    <w:p>
      <w:pPr>
        <w:pStyle w:val="Intertitre"/>
      </w:pPr>
      <w:r>
        <w:t xml:space="preserve">Clause optionnelle : SUSPENDRE CERTAINS EFFETS DE LA DÉCISION</w:t>
      </w:r>
    </w:p>
    <w:p>
      <w:pPr>
        <w:pStyle w:val="Corps"/>
      </w:pPr>
      <w:r>
        <w:t xml:space="preserve">Il est demandé de suspendre les seuls effets divisibles [Périmètre de la suspension], selon [Divisibilité des effets]. Le chef identifie chaque disposition ou effet suspendu et laisse expressément subsister le surplus ; sa rédaction concorde avec l'analyse de divisibilité et les pièces d'exécution.</w:t>
      </w:r>
    </w:p>
    <w:p>
      <w:pPr>
        <w:pStyle w:val="Intertitre"/>
      </w:pPr>
      <w:r>
        <w:t xml:space="preserve">Une mesure provisoire accessoire est-elle demandée ? — choisir une seule variante</w:t>
      </w:r>
    </w:p>
    <w:p>
      <w:pPr>
        <w:pStyle w:val="Variante"/>
      </w:pPr>
      <w:r>
        <w:t xml:space="preserve">Variante : AUCUNE MESURE ACCESSOIRE DISTINCTE</w:t>
      </w:r>
    </w:p>
    <w:p>
      <w:pPr>
        <w:pStyle w:val="Corps"/>
      </w:pPr>
      <w:r>
        <w:t xml:space="preserve">La demande est limitée à la suspension sélectionnée et aux frais, sans injonction ni mesure définitive étrangère au référé. Les autres développements ne doivent donc contenir aucune injonction implicite, astreinte isolée ou demande d'exécution définitive ; le dispositif reste cohérent avec ce choix négatif.</w:t>
      </w:r>
    </w:p>
    <w:p>
      <w:pPr>
        <w:pStyle w:val="Variante"/>
      </w:pPr>
      <w:r>
        <w:t xml:space="preserve">Variante : MESURE PROVISOIRE ACCESSOIRE VÉRIFIÉE</w:t>
      </w:r>
    </w:p>
    <w:p>
      <w:pPr>
        <w:pStyle w:val="Corps"/>
      </w:pPr>
      <w:r>
        <w:t xml:space="preserve">La mesure accessoire [Mesure provisoire accessoire] est sollicitée uniquement sur un fondement vérifié et dans les limites du provisoire. La rédaction identifie l'autorité tenue, l'acte provisoire attendu, son délai, sa durée, les modalités d'exécution et le fondement contrôlé ; toute astreinte est explicitement motivée, chiffrée et rattachée à cette obligation.</w:t>
      </w:r>
    </w:p>
    <w:p>
      <w:pPr>
        <w:pStyle w:val="Intertitre"/>
      </w:pPr>
      <w:r>
        <w:t xml:space="preserve">Clause optionnelle : FRAIS EXPOSÉS ET NON COMPRIS DANS LES DÉPENS</w:t>
      </w:r>
    </w:p>
    <w:p>
      <w:pPr>
        <w:pStyle w:val="Corps"/>
      </w:pPr>
      <w:r>
        <w:t xml:space="preserve">La demande de frais est formulée dans [Frais demandes] avec les justificatifs disponibles et la partie visée. Le chef indique le montant effectivement demandé, son fondement, la partie appelée à le supporter et les éléments justifiant son appréciation, sans présenter une somme de démonstration comme une valeur réelle.</w:t>
      </w:r>
    </w:p>
    <w:p>
      <w:pPr>
        <w:pStyle w:val="Intertitre"/>
      </w:pPr>
      <w:r>
        <w:t xml:space="preserve">Clause optionnelle : COPIE DE LA REQUÊTE AU FOND</w:t>
      </w:r>
    </w:p>
    <w:p>
      <w:pPr>
        <w:pStyle w:val="Corps"/>
      </w:pPr>
      <w:r>
        <w:t xml:space="preserve">La copie [Copie de la requête au fond] est jointe à peine d'irrecevabilité et correspond à l'acte au fond distinct identifié. Son numéro, son intitulé, sa date, sa juridiction et sa preuve de dépôt sont repris au bordereau ; une version de travail non déposée n'est jamais présentée comme la requête au fond requise.</w:t>
      </w:r>
    </w:p>
    <w:p>
      <w:pPr>
        <w:pStyle w:val="Intertitre"/>
      </w:pPr>
      <w:r>
        <w:t xml:space="preserve">Clause optionnelle : ACTE ATTAQUÉ OU PREUVE DE LA DEMANDE</w:t>
      </w:r>
    </w:p>
    <w:p>
      <w:pPr>
        <w:pStyle w:val="Corps"/>
      </w:pPr>
      <w:r>
        <w:t xml:space="preserve">La pièce principale est [Copie de l'acte attaqué] et correspond à la branche de décision effectivement sélectionnée. Le numéro, la date, l'auteur, le dispositif et les annexes de la pièce concordent avec la décision décrite ; pour une décision implicite, la demande et sa preuve remplacent l'acte inexistant.</w:t>
      </w:r>
    </w:p>
    <w:p>
      <w:pPr>
        <w:pStyle w:val="Intertitre"/>
      </w:pPr>
      <w:r>
        <w:t xml:space="preserve">PIÈCES CITÉES</w:t>
      </w:r>
    </w:p>
    <w:p>
      <w:pPr>
        <w:pStyle w:val="Corps"/>
      </w:pPr>
      <w:r>
        <w:t xml:space="preserve">Les pièces effectivement citées dans les moyens sont recensées dans [Pièces citées] et concordent avec la numérotation du bordereau. Chaque renvoi placé dans les faits, l'urgence et les moyens reprend le même numéro et le même intitulé ; les pièces non produites sont retirées ou signalées comme manquantes.</w:t>
      </w:r>
    </w:p>
    <w:p>
      <w:pPr>
        <w:pStyle w:val="Intertitre"/>
      </w:pPr>
      <w:r>
        <w:t xml:space="preserve">BORDEREAU DE PIÈCES</w:t>
      </w:r>
    </w:p>
    <w:p>
      <w:pPr>
        <w:pStyle w:val="Corps"/>
      </w:pPr>
      <w:r>
        <w:t xml:space="preserve">Le bordereau [Bordereau de pièces] numérote chaque pièce, son intitulé, sa date et son utilité pour le recours. L'ordre suit la première citation utile et distingue décision, notification, requête au fond, urgence et légalité ; aucun numéro absent, doublon ou intitulé générique ne subsiste.</w:t>
      </w:r>
    </w:p>
    <w:p>
      <w:pPr>
        <w:pStyle w:val="Intertitre"/>
      </w:pPr>
      <w:r>
        <w:t xml:space="preserve">Clause optionnelle : SIGNATURE À APPOSER</w:t>
      </w:r>
    </w:p>
    <w:p>
      <w:pPr>
        <w:pStyle w:val="Corps"/>
      </w:pPr>
      <w:r>
        <w:t xml:space="preserve">Le projet sera signé par [Signataire de la requête] après contrôle de la requête au fond, de l'urgence, des moyens et des pièces. L'emplacement demeure non signé et ne comporte aucune date de complaisance ; l'identité et la qualité du futur signataire sont néanmoins vérifiées avant passage au stade suivant.</w:t>
      </w:r>
    </w:p>
    <w:p>
      <w:pPr>
        <w:pStyle w:val="Intertitre"/>
      </w:pPr>
      <w:r>
        <w:t xml:space="preserve">Clause optionnelle : REQUÊTE SIGNÉE POUR DÉPÔT</w:t>
      </w:r>
    </w:p>
    <w:p>
      <w:pPr>
        <w:pStyle w:val="Corps"/>
      </w:pPr>
      <w:r>
        <w:t xml:space="preserve">La requête est datée du [Date de signature] et signée par [Signataire de la requête] dans la qualité vérifiée. La date réelle, l'identité, la qualité et, le cas échéant, le barreau du signataire concordent avec la représentation retenue et avec la version définitive des deux requêtes.</w:t>
      </w:r>
    </w:p>
    <w:p>
      <w:pPr>
        <w:pStyle w:val="Intertitre"/>
      </w:pPr>
      <w:r>
        <w:t xml:space="preserve">Clause optionnelle : VERSION SIGNÉE DÉPOSÉE</w:t>
      </w:r>
    </w:p>
    <w:p>
      <w:pPr>
        <w:pStyle w:val="Corps"/>
      </w:pPr>
      <w:r>
        <w:t xml:space="preserve">La version signée par [Signataire de la requête] est identique à celle transmise selon [Preuve du dépôt]. L'empreinte ou l'identification des fichiers, l'heure de transmission et l'accusé de réception relient la signature à la version effectivement saisie par la juridiction.</w:t>
      </w:r>
    </w:p>
    <w:p>
      <w:pPr>
        <w:pStyle w:val="Intertitre"/>
      </w:pPr>
      <w:r>
        <w:t xml:space="preserve">Clause optionnelle : EFFETS DE L'ORDONNANCE</w:t>
      </w:r>
    </w:p>
    <w:p>
      <w:pPr>
        <w:pStyle w:val="Corps"/>
      </w:pPr>
      <w:r>
        <w:t xml:space="preserve">Le dispositif, la durée de la suspension, les obligations provisoires et la notification sont analysés dans [Référence de l'ordonnance]. L'analyse distingue ce qui est suspendu, refusé ou ordonné, le point de départ de l'exécution, les destinataires et la durée ; elle ne déduit aucun effet absent du dispositif.</w:t>
      </w:r>
    </w:p>
    <w:p>
      <w:pPr>
        <w:pStyle w:val="Intertitre"/>
      </w:pPr>
      <w:r>
        <w:t xml:space="preserve">Clause optionnelle : CONFIRMATION DU MAINTIEN DE LA REQUÊTE AU FOND</w:t>
      </w:r>
    </w:p>
    <w:p>
      <w:pPr>
        <w:pStyle w:val="Corps"/>
      </w:pPr>
      <w:r>
        <w:t xml:space="preserve">Lorsque l'ordonnance et son motif déclenchent cette obligation, le maintien est confirmé selon [Confirmation du maintien au fond]. Le délai, son point de départ, le canal et la preuve de confirmation sont calculés d'après l'ordonnance et le texte applicable ; la démarche est rattachée au bon numéro d'instance.</w:t>
      </w:r>
    </w:p>
    <w:p>
      <w:pPr>
        <w:pStyle w:val="Intertitre"/>
      </w:pPr>
      <w:r>
        <w:t xml:space="preserve">Clause optionnelle : AUTRE SUITE DE L'ORDONNANCE</w:t>
      </w:r>
    </w:p>
    <w:p>
      <w:pPr>
        <w:pStyle w:val="Corps"/>
      </w:pPr>
      <w:r>
        <w:t xml:space="preserve">La suite procédurale est déterminée après lecture du dispositif, des motifs, de la notification et des voies de recours de [Référence de l'ordonnance]. Sont distingués exécution, recours, poursuite du fond, production complémentaire et éventuelle caducité ; aucune démarche n'est engagée sur le seul intitulé de l'ordonnance.</w:t>
      </w:r>
    </w:p>
    <w:p>
      <w:pPr>
        <w:pStyle w:val="Intertitre"/>
      </w:pPr>
      <w:r>
        <w:t xml:space="preserve">Clause optionnelle : ÉLÉMENT NOUVEAU AFFECTANT LA MESURE</w:t>
      </w:r>
    </w:p>
    <w:p>
      <w:pPr>
        <w:pStyle w:val="Corps"/>
      </w:pPr>
      <w:r>
        <w:t xml:space="preserve">L'élément nouveau [Élément nouveau] est analysé pour apprécier une demande de modification ou de fin de la mesure provisoire. La date, la nouveauté, la portée et les preuves de l'élément sont exposées, puis comparées aux motifs de l'ordonnance afin de demander seulement l'adaptation provisoire nécessaire.</w:t>
      </w:r>
    </w:p>
    <w:p>
      <w:pPr>
        <w:pStyle w:val="Mention"/>
      </w:pPr>
      <w:r>
        <w:t xml:space="preserve">Les variantes et clauses optionnelles ci-dessus sont proposées dans LegalProd selon les réponses saisies ; les blocs non retenus sont retirés du document final.</w:t>
      </w:r>
    </w:p>
    <w:sectPr>
      <w:pgSz w:w="11906" w:h="16838"/>
      <w:pgMar w:top="1418" w:right="1418" w:bottom="1418" w:left="1418"/>
    </w:sectPr>
  </w:body>
</w:document>
</file>

<file path=word/styles.xml><?xml version="1.0" encoding="utf-8"?>
<w:styles xmlns:w="http://schemas.openxmlformats.org/wordprocessingml/2006/main">
  <w:docDefaults>
    <w:rPrDefault>
      <w:rPr>
        <w:rFonts w:ascii="Calibri" w:hAnsi="Calibri"/>
        <w:sz w:val="22"/>
      </w:rPr>
    </w:rPrDefault>
  </w:docDefaults>
  <w:style w:type="paragraph" w:styleId="Titre">
    <w:name w:val="Titre"/>
    <w:pPr>
      <w:spacing w:before="360" w:after="120" w:line="276" w:lineRule="auto"/>
      <w:jc w:val="center"/>
    </w:pPr>
    <w:rPr>
      <w:sz w:val="32"/>
      <w:b/>
    </w:rPr>
  </w:style>
  <w:style w:type="paragraph" w:styleId="Intertitre">
    <w:name w:val="Intertitre"/>
    <w:pPr>
      <w:spacing w:before="280" w:after="120" w:line="276" w:lineRule="auto"/>
      <w:jc w:val="left"/>
    </w:pPr>
    <w:rPr>
      <w:sz w:val="24"/>
      <w:b/>
    </w:rPr>
  </w:style>
  <w:style w:type="paragraph" w:styleId="Variante">
    <w:name w:val="Variante"/>
    <w:pPr>
      <w:spacing w:before="240" w:after="120" w:line="276" w:lineRule="auto"/>
      <w:jc w:val="left"/>
    </w:pPr>
    <w:rPr>
      <w:sz w:val="21"/>
      <w:b/>
    </w:rPr>
  </w:style>
  <w:style w:type="paragraph" w:styleId="Corps">
    <w:name w:val="Corps"/>
    <w:pPr>
      <w:spacing w:before="160" w:after="120" w:line="276" w:lineRule="auto"/>
      <w:jc w:val="both"/>
    </w:pPr>
    <w:rPr>
      <w:sz w:val="22"/>
    </w:rPr>
  </w:style>
  <w:style w:type="paragraph" w:styleId="Mention">
    <w:name w:val="Mention"/>
    <w:pPr>
      <w:spacing w:before="320" w:after="120" w:line="276" w:lineRule="auto"/>
      <w:jc w:val="left"/>
    </w:pPr>
    <w:rPr>
      <w:sz w:val="18"/>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