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RECOURS PRÉALABLE CONTRE UN REFUS DE PRISE EN CHARGE PAR L'ASSURANCE MALADIE</w:t>
      </w:r>
    </w:p>
    <w:p>
      <w:pPr>
        <w:pStyle w:val="Intertitre"/>
      </w:pPr>
      <w:r>
        <w:t xml:space="preserve">Organisme et décision</w:t>
      </w:r>
    </w:p>
    <w:p>
      <w:pPr>
        <w:pStyle w:val="Corps"/>
      </w:pPr>
      <w:r>
        <w:t xml:space="preserve">Le recours préalable est adressé à [Organisme d'assurance maladie] contre la décision [Référence de la décision]. La commission et l'adresse sont vérifiées à partir de la décision et de la nature exacte du refus. Le document ne qualifie pas automatiquement un désaccord médical de recours administratif, ni l'inverse.</w:t>
      </w:r>
    </w:p>
    <w:p>
      <w:pPr>
        <w:pStyle w:val="Intertitre"/>
      </w:pPr>
      <w:r>
        <w:t xml:space="preserve">Assuré demandeur</w:t>
      </w:r>
    </w:p>
    <w:p>
      <w:pPr>
        <w:pStyle w:val="Corps"/>
      </w:pPr>
      <w:r>
        <w:t xml:space="preserve">Le recours est formé par [Nom de l'assuré], identifié sous [Identifiant de l'assuré]. Son identité, sa qualité d'assuré, d'ayant droit ou de représentant et son rattachement au dossier sont vérifiés. L'identifiant est traité comme une donnée confidentielle et n'est communiqué qu'aux destinataires nécessaires.</w:t>
      </w:r>
    </w:p>
    <w:p>
      <w:pPr>
        <w:pStyle w:val="Intertitre"/>
      </w:pPr>
      <w:r>
        <w:t xml:space="preserve">Refus contesté</w:t>
      </w:r>
    </w:p>
    <w:p>
      <w:pPr>
        <w:pStyle w:val="Corps"/>
      </w:pPr>
      <w:r>
        <w:t xml:space="preserve">La décision de refus notifiée le [Date de la décision de refus] concerne [Indemnité de rétractation]. Ses motifs exacts sont [Motifs de refus] et le document complet est [Document de décision]. Le recours répond à cette motivation sans inventer un motif absent et conserve la preuve de la date ainsi que les voies indiquées.</w:t>
      </w:r>
    </w:p>
    <w:p>
      <w:pPr>
        <w:pStyle w:val="Corps"/>
      </w:pPr>
      <w:r>
        <w:t xml:space="preserve">Si la décision comporte plusieurs motifs, le recours les reprend séparément et indique pour chacun la pièce ou l'argument correspondant. Une contestation médicale n'est pas noyée dans un désaccord de calcul, et une erreur administrative n'est pas présentée comme une appréciation clinique.</w:t>
      </w:r>
    </w:p>
    <w:p>
      <w:pPr>
        <w:pStyle w:val="Intertitre"/>
      </w:pPr>
      <w:r>
        <w:t xml:space="preserve">Historique de la demande</w:t>
      </w:r>
    </w:p>
    <w:p>
      <w:pPr>
        <w:pStyle w:val="Corps"/>
      </w:pPr>
      <w:r>
        <w:t xml:space="preserve">L'historique [Antécédents de demande de prestations] retrace la demande initiale, les pièces, les relances, les compléments et les réponses dans leur ordre. Le tableau [Calendrier des pièces justificatives administratives] relie chaque étape à une preuve. Les transmissions manquantes ou contradictoires sont signalées au lieu d'être réputées accomplies.</w:t>
      </w:r>
    </w:p>
    <w:p>
      <w:pPr>
        <w:pStyle w:val="Intertitre"/>
      </w:pPr>
      <w:r>
        <w:t xml:space="preserve">Nature de la prestation — choisir une seule variante</w:t>
      </w:r>
    </w:p>
    <w:p>
      <w:pPr>
        <w:pStyle w:val="Variante"/>
      </w:pPr>
      <w:r>
        <w:t xml:space="preserve">Variante : Refus de frais de santé</w:t>
      </w:r>
    </w:p>
    <w:p>
      <w:pPr>
        <w:pStyle w:val="Corps"/>
      </w:pPr>
      <w:r>
        <w:t xml:space="preserve">Les frais de santé contestés sont détaillés dans [Calendrier des coûts des soins de santé] par acte, date, professionnel, facture, remboursement et reste demandé. Les prescriptions ou indications figurent dans [Preuves médicales sur ordonnance]. Le recours distingue défaut de transmission, règle de prise en charge et appréciation médicale.</w:t>
      </w:r>
    </w:p>
    <w:p>
      <w:pPr>
        <w:pStyle w:val="Variante"/>
      </w:pPr>
      <w:r>
        <w:t xml:space="preserve">Variante : Refus de prestation en espèces</w:t>
      </w:r>
    </w:p>
    <w:p>
      <w:pPr>
        <w:pStyle w:val="Corps"/>
      </w:pPr>
      <w:r>
        <w:t xml:space="preserve">La prestation en espèces est [Type de prestations en espèces] pour [Période de prestations]. Le calcul [Calcul des prestations] présente les jours, salaires ou revenus de référence, carences, plafonds et paiements déjà reçus selon les pièces. Aucune période ni base chiffrée n'est complétée par approximation.</w:t>
      </w:r>
    </w:p>
    <w:p>
      <w:pPr>
        <w:pStyle w:val="Intertitre"/>
      </w:pPr>
      <w:r>
        <w:t xml:space="preserve">Conditions d'ouverture du droit</w:t>
      </w:r>
    </w:p>
    <w:p>
      <w:pPr>
        <w:pStyle w:val="Corps"/>
      </w:pPr>
      <w:r>
        <w:t xml:space="preserve">L'analyse [Analyse de l'admissibilité] reprend séparément les conditions légales et factuelles correspondant à la prestation refusée. Chaque condition est reliée à une période et à une pièce. Le recours identifie le point de désaccord avec la caisse et la conséquence demandée, sans formule générale de droit à prise en charge.</w:t>
      </w:r>
    </w:p>
    <w:p>
      <w:pPr>
        <w:pStyle w:val="Intertitre"/>
      </w:pPr>
      <w:r>
        <w:t xml:space="preserve">Affiliation et cotisations</w:t>
      </w:r>
    </w:p>
    <w:p>
      <w:pPr>
        <w:pStyle w:val="Corps"/>
      </w:pPr>
      <w:r>
        <w:t xml:space="preserve">La qualité d'assuré, d'ayant droit et les éléments d'affiliation ou de cotisation ressortent de [Preuves d'affiliation et de contribution]. Les changements de régime, d'activité, de résidence ou d'employeur sont rapprochés de la période litigieuse. Une attestation expirée n'est pas présentée comme actuelle.</w:t>
      </w:r>
    </w:p>
    <w:p>
      <w:pPr>
        <w:pStyle w:val="Intertitre"/>
      </w:pPr>
      <w:r>
        <w:t xml:space="preserve">Pièces administratives</w:t>
      </w:r>
    </w:p>
    <w:p>
      <w:pPr>
        <w:pStyle w:val="Corps"/>
      </w:pPr>
      <w:r>
        <w:t xml:space="preserve">Les justificatifs administratifs sont classés par numéro, date, auteur et objet. Le bordereau distingue les pièces déjà transmises à l'organisme, celles jointes pour la première fois et celles encore attendues. Une pièce absente n'est jamais décrite comme produite ou reçue.</w:t>
      </w:r>
    </w:p>
    <w:p>
      <w:pPr>
        <w:pStyle w:val="Intertitre"/>
      </w:pPr>
      <w:r>
        <w:t xml:space="preserve">Synthèse médicale</w:t>
      </w:r>
    </w:p>
    <w:p>
      <w:pPr>
        <w:pStyle w:val="Corps"/>
      </w:pPr>
      <w:r>
        <w:t xml:space="preserve">Le résumé médical [Résumé des preuves médicales] expose uniquement les informations nécessaires à la contestation, les périodes, prescriptions et conclusions utiles. Il évite les détails sans rapport avec le refus et distingue les constatations d'un professionnel des déclarations du demandeur.</w:t>
      </w:r>
    </w:p>
    <w:p>
      <w:pPr>
        <w:pStyle w:val="Intertitre"/>
      </w:pPr>
      <w:r>
        <w:t xml:space="preserve">Transmission confidentielle</w:t>
      </w:r>
    </w:p>
    <w:p>
      <w:pPr>
        <w:pStyle w:val="Corps"/>
      </w:pPr>
      <w:r>
        <w:t xml:space="preserve">Les pièces médicales sont transmises selon [Transmission médicale confidentielle] au service, au secrétariat ou au praticien habilité. Elles sont séparées du courrier administratif lorsque le circuit l'exige. Les diagnostics et comptes rendus ne sont pas diffusés à des destinataires non autorisés.</w:t>
      </w:r>
    </w:p>
    <w:p>
      <w:pPr>
        <w:pStyle w:val="Intertitre"/>
      </w:pPr>
      <w:r>
        <w:t xml:space="preserve">Clause optionnelle : Demande d'examen médical</w:t>
      </w:r>
    </w:p>
    <w:p>
      <w:pPr>
        <w:pStyle w:val="Corps"/>
      </w:pPr>
      <w:r>
        <w:t xml:space="preserve">Il est demandé [Évaluation médicale demandée] selon [Procédure d'expertise médicale]. La demande précise l'objet de l'examen, les pièces utiles et les contraintes de déplacement, sans désigner un expert ni imposer une modalité que le texte attribue à la commission. Les convocations et rapports sont conservés dans le circuit confidentiel.</w:t>
      </w:r>
    </w:p>
    <w:p>
      <w:pPr>
        <w:pStyle w:val="Intertitre"/>
      </w:pPr>
      <w:r>
        <w:t xml:space="preserve">Réformation sollicitée</w:t>
      </w:r>
    </w:p>
    <w:p>
      <w:pPr>
        <w:pStyle w:val="Corps"/>
      </w:pPr>
      <w:r>
        <w:t xml:space="preserve">Le demandeur sollicite [Résultat de la demande de prestations]. La demande indique la prestation, la période, la décision à réexaminer et la conséquence attendue. Elle sollicite une réponse motivée à chaque argument et ne présente ni paiement ni reconnaissance médicale comme acquis avant la décision.</w:t>
      </w:r>
    </w:p>
    <w:p>
      <w:pPr>
        <w:pStyle w:val="Intertitre"/>
      </w:pPr>
      <w:r>
        <w:t xml:space="preserve">Décompte et paiement</w:t>
      </w:r>
    </w:p>
    <w:p>
      <w:pPr>
        <w:pStyle w:val="Corps"/>
      </w:pPr>
      <w:r>
        <w:t xml:space="preserve">Le règlement ou décompte demandé est [Relevé de paiement demandé]. Le document distingue principal, retenues, prestations déjà versées et périodes contestées selon les justificatifs. Aucun montant global n'est affirmé sans méthode de calcul et sans rapprochement avec les relevés disponibles.</w:t>
      </w:r>
    </w:p>
    <w:p>
      <w:pPr>
        <w:pStyle w:val="Intertitre"/>
      </w:pPr>
      <w:r>
        <w:t xml:space="preserve">Clause optionnelle : Difficulté financière</w:t>
      </w:r>
    </w:p>
    <w:p>
      <w:pPr>
        <w:pStyle w:val="Corps"/>
      </w:pPr>
      <w:r>
        <w:t xml:space="preserve">La difficulté immédiate ressort de [Preuves de dureté] et motive [Demande d'appui provisoire]. Cette demande est présentée comme une mesure d'attente à examiner selon les pouvoirs de l'organisme ; elle ne vaut ni reconnaissance du droit principal, ni suspension automatique de la décision.</w:t>
      </w:r>
    </w:p>
    <w:p>
      <w:pPr>
        <w:pStyle w:val="Intertitre"/>
      </w:pPr>
      <w:r>
        <w:t xml:space="preserve">Nature de la décision — choisir une seule variante</w:t>
      </w:r>
    </w:p>
    <w:p>
      <w:pPr>
        <w:pStyle w:val="Variante"/>
      </w:pPr>
      <w:r>
        <w:t xml:space="preserve">Variante : Commission de recours amiable</w:t>
      </w:r>
    </w:p>
    <w:p>
      <w:pPr>
        <w:pStyle w:val="Corps"/>
      </w:pPr>
      <w:r>
        <w:t xml:space="preserve">La contestation portant sur une décision administrative, elle est soumise à la commission de recours amiable selon la notification et l'article R. 142-1 du Code de la sécurité sociale. Le recours écrit identifie la décision, le demandeur, les demandes et les pièces, puis est adressé à date certaine dans le délai vérifié.</w:t>
      </w:r>
    </w:p>
    <w:p>
      <w:pPr>
        <w:pStyle w:val="Corps"/>
      </w:pPr>
      <w:r>
        <w:t xml:space="preserve">Lorsque le dossier comporte aussi une question médicale, l'articulation avec la commission médicale est documentée avant le dépôt. Le recours ne choisit pas la CRA par commodité et ne présume pas qu'une commission transmettra d'office une contestation mal qualifiée.</w:t>
      </w:r>
    </w:p>
    <w:p>
      <w:pPr>
        <w:pStyle w:val="Variante"/>
      </w:pPr>
      <w:r>
        <w:t xml:space="preserve">Variante : Commission médicale de recours amiable</w:t>
      </w:r>
    </w:p>
    <w:p>
      <w:pPr>
        <w:pStyle w:val="Corps"/>
      </w:pPr>
      <w:r>
        <w:t xml:space="preserve">La contestation étant d'ordre médical dans le champ applicable, elle est soumise à la commission médicale de recours amiable. La demande écrite joint la décision contestée et est reçue à date certaine par le secrétariat compétent. Le circuit des rapports et observations respecte les destinataires médicaux prévus.</w:t>
      </w:r>
    </w:p>
    <w:p>
      <w:pPr>
        <w:pStyle w:val="Corps"/>
      </w:pPr>
      <w:r>
        <w:t xml:space="preserve">Le demandeur peut préparer des observations sur le rapport ou l'avis dans le délai applicable dès leur réception. Le document précise le contact médical habilité et conserve la preuve des transmissions sans insérer le détail médical dans les courriers adressés à des destinataires administratifs.</w:t>
      </w:r>
    </w:p>
    <w:p>
      <w:pPr>
        <w:pStyle w:val="Intertitre"/>
      </w:pPr>
      <w:r>
        <w:t xml:space="preserve">Canal de saisine</w:t>
      </w:r>
    </w:p>
    <w:p>
      <w:pPr>
        <w:pStyle w:val="Corps"/>
      </w:pPr>
      <w:r>
        <w:t xml:space="preserve">Le canal retenu est [Voie d'appel]. Il correspond à la commission et à l'adresse vérifiées et permet d'établir la réception, le contenu complet, la signature et les annexes. Un simple envoi à une adresse générique n'est pas présenté comme saisine régulière sans preuve concordante.</w:t>
      </w:r>
    </w:p>
    <w:p>
      <w:pPr>
        <w:pStyle w:val="Intertitre"/>
      </w:pPr>
      <w:r>
        <w:t xml:space="preserve">Contrôle du délai</w:t>
      </w:r>
    </w:p>
    <w:p>
      <w:pPr>
        <w:pStyle w:val="Corps"/>
      </w:pPr>
      <w:r>
        <w:t xml:space="preserve">Le calcul du délai figure dans [Compte rendu des appels] avec la décision, sa date de notification, le point de départ, le terme et la date de réception du recours. Toute règle spéciale ou anomalie de notification est signalée. Aucune prorogation ou recevabilité n'est affirmée par supposition.</w:t>
      </w:r>
    </w:p>
    <w:p>
      <w:pPr>
        <w:pStyle w:val="Intertitre"/>
      </w:pPr>
      <w:r>
        <w:t xml:space="preserve">Preuve de dépôt</w:t>
      </w:r>
    </w:p>
    <w:p>
      <w:pPr>
        <w:pStyle w:val="Corps"/>
      </w:pPr>
      <w:r>
        <w:t xml:space="preserve">La copie signée, le bordereau, les fichiers transmis, l'enveloppe ou le dépôt électronique et l'accusé de réception sont conservés ensemble. Cette preuve établit non seulement une date, mais aussi le destinataire et le contenu exact de la saisine préalable.</w:t>
      </w:r>
    </w:p>
    <w:p>
      <w:pPr>
        <w:pStyle w:val="Intertitre"/>
      </w:pPr>
      <w:r>
        <w:t xml:space="preserve">Réserve des recours ultérieurs</w:t>
      </w:r>
    </w:p>
    <w:p>
      <w:pPr>
        <w:pStyle w:val="Corps"/>
      </w:pPr>
      <w:r>
        <w:t xml:space="preserve">Les réserves sur les voies ultérieures sont [Autres réserves d'appel]. Le dossier distingue décision explicite, rejet implicite et éventuelle articulation CRA-CMRA avant toute saisine du pôle social. Le délai juridictionnel est recalculé à partir de la décision réellement intervenue.</w:t>
      </w:r>
    </w:p>
    <w:p>
      <w:pPr>
        <w:pStyle w:val="Intertitre"/>
      </w:pPr>
      <w:r>
        <w:t xml:space="preserve">Pièces jointes</w:t>
      </w:r>
    </w:p>
    <w:p>
      <w:pPr>
        <w:pStyle w:val="Corps"/>
      </w:pPr>
      <w:r>
        <w:t xml:space="preserve">Le bordereau [Calendrier des pièces jointes] comprend au minimum la décision contestée, sa notification, les justificatifs cités, les décomptes et le mandat éventuel. Les pièces médicales confidentielles sont identifiées sans être reproduites dans un bordereau destiné à des personnes non habilitées.</w:t>
      </w:r>
    </w:p>
    <w:p>
      <w:pPr>
        <w:pStyle w:val="Intertitre"/>
      </w:pPr>
      <w:r>
        <w:t xml:space="preserve">Exactitude des informations</w:t>
      </w:r>
    </w:p>
    <w:p>
      <w:pPr>
        <w:pStyle w:val="Corps"/>
      </w:pPr>
      <w:r>
        <w:t xml:space="preserve">Le demandeur confirme après contrôle que les faits, dates, périodes, calculs et pièces correspondent au dossier transmis. Cette confirmation ne transforme pas une estimation en preuve. Les données de santé et d'identification sont limitées à ce qui est nécessaire pour instruire le recours.</w:t>
      </w:r>
    </w:p>
    <w:p>
      <w:pPr>
        <w:pStyle w:val="Intertitre"/>
      </w:pPr>
      <w:r>
        <w:t xml:space="preserve">Notification de la décision</w:t>
      </w:r>
    </w:p>
    <w:p>
      <w:pPr>
        <w:pStyle w:val="Corps"/>
      </w:pPr>
      <w:r>
        <w:t xml:space="preserve">Il est demandé que la décision sur recours soit notifiée avec sa motivation, la prestation et la période concernées, ainsi que les voies et délais applicables. Pour le recours médical, la communication du rapport ou de l'avis suit le circuit et les conditions prévus par les textes.</w:t>
      </w:r>
    </w:p>
    <w:p>
      <w:pPr>
        <w:pStyle w:val="Intertitre"/>
      </w:pPr>
      <w:r>
        <w:t xml:space="preserve">Signature</w:t>
      </w:r>
    </w:p>
    <w:p>
      <w:pPr>
        <w:pStyle w:val="Corps"/>
      </w:pPr>
      <w:r>
        <w:t xml:space="preserve">Fait à [Lieu de signature], le [Date de signature]. Le recours est signé par [Signataire du requérant] après contrôle de son identité, de son pouvoir, de la commission, du délai et des pièces. L'exemplaire conservé est identique à celui reçu par l'organisme.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