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TRAITÉ D'APPORT PARTIEL D'ACTIF</w:t>
      </w:r>
    </w:p>
    <w:p>
      <w:pPr>
        <w:pStyle w:val="Intertitre"/>
      </w:pPr>
      <w:r>
        <w:t xml:space="preserve">Projet de traité d'apport partiel d'actif</w:t>
      </w:r>
    </w:p>
    <w:p>
      <w:pPr>
        <w:pStyle w:val="Corps"/>
      </w:pPr>
      <w:r>
        <w:t xml:space="preserve">Le présent projet organise l'apport d'une partie du patrimoine de [Identité complète de la société apporteuse] à [Identité complète de la société bénéficiaire]. Le traité distingue la date de signature, la date de réalisation et les effets comptables ou fiscaux, sans présenter l'opération comme accomplie avant les décisions et formalités requises.</w:t>
      </w:r>
    </w:p>
    <w:p>
      <w:pPr>
        <w:pStyle w:val="Intertitre"/>
      </w:pPr>
      <w:r>
        <w:t xml:space="preserve">Société apporteuse</w:t>
      </w:r>
    </w:p>
    <w:p>
      <w:pPr>
        <w:pStyle w:val="Corps"/>
      </w:pPr>
      <w:r>
        <w:t xml:space="preserve">La société apporteuse est [Identité complète de la société apporteuse], représentée par [Représentant habilité de l'apporteuse] selon [Pouvoirs et autorisations des signataires]. Elle demeure en activité après l'apport. Son identité, sa forme, son capital, son siège et son immatriculation sont rapprochés d'un extrait à jour; la branche conservée et sa capacité à poursuivre l'activité sont documentées.</w:t>
      </w:r>
    </w:p>
    <w:p>
      <w:pPr>
        <w:pStyle w:val="Intertitre"/>
      </w:pPr>
      <w:r>
        <w:t xml:space="preserve">Société bénéficiaire</w:t>
      </w:r>
    </w:p>
    <w:p>
      <w:pPr>
        <w:pStyle w:val="Corps"/>
      </w:pPr>
      <w:r>
        <w:t xml:space="preserve">La société bénéficiaire est [Identité complète de la société bénéficiaire], représentée par [Représentant habilité de la bénéficiaire] selon [Pouvoirs et autorisations des signataires]. Elle recevra les éléments et obligations compris dans le périmètre.</w:t>
      </w:r>
    </w:p>
    <w:p>
      <w:pPr>
        <w:pStyle w:val="Intertitre"/>
      </w:pPr>
      <w:r>
        <w:t xml:space="preserve">Capacité et pouvoirs</w:t>
      </w:r>
    </w:p>
    <w:p>
      <w:pPr>
        <w:pStyle w:val="Corps"/>
      </w:pPr>
      <w:r>
        <w:t xml:space="preserve">Les signataires et organes tiennent leurs pouvoirs de [Pouvoirs et autorisations des signataires] et réservent les décisions sociales encore requises. Chaque pouvoir précise l'organe, la décision, sa date et l'étendue de l'autorisation; aucun signataire ne peut engager une société au-delà du mandat produit.</w:t>
      </w:r>
    </w:p>
    <w:p>
      <w:pPr>
        <w:pStyle w:val="Intertitre"/>
      </w:pPr>
      <w:r>
        <w:t xml:space="preserve">Liens de capital</w:t>
      </w:r>
    </w:p>
    <w:p>
      <w:pPr>
        <w:pStyle w:val="Corps"/>
      </w:pPr>
      <w:r>
        <w:t xml:space="preserve">La détention et les liens de groupe résultent de [Structure de détention] et [Organigramme du groupe]; leur continuité est établie par [Continuité de détention].</w:t>
      </w:r>
    </w:p>
    <w:p>
      <w:pPr>
        <w:pStyle w:val="Intertitre"/>
      </w:pPr>
      <w:r>
        <w:t xml:space="preserve">Préambule</w:t>
      </w:r>
    </w:p>
    <w:p>
      <w:pPr>
        <w:pStyle w:val="Corps"/>
      </w:pPr>
      <w:r>
        <w:t xml:space="preserve">Les sociétés exposent les motifs [Motifs et buts de l'apport], les conditions [Conditions générales de l'apport] et l'organisation de l'activité avant l'apport. Le préambule décrit la situation actuelle, l'objectif opérationnel et l'enchaînement envisagé sans créer une garantie autonome ni remplacer les stipulations relatives au périmètre.</w:t>
      </w:r>
    </w:p>
    <w:p>
      <w:pPr>
        <w:pStyle w:val="Intertitre"/>
      </w:pPr>
      <w:r>
        <w:t xml:space="preserve">Activité apportée</w:t>
      </w:r>
    </w:p>
    <w:p>
      <w:pPr>
        <w:pStyle w:val="Corps"/>
      </w:pPr>
      <w:r>
        <w:t xml:space="preserve">L'activité apportée est [Description de l'activité apportée] et son autonomie résulte de [Éléments d'autonomie de la branche]. La branche est décrite par ses fonctions, clients, fournisseurs, moyens humains et matériels, contrats et flux; les dépendances à l'apporteuse sont identifiées avec leur traitement après réalisation.</w:t>
      </w:r>
    </w:p>
    <w:p>
      <w:pPr>
        <w:pStyle w:val="Intertitre"/>
      </w:pPr>
      <w:r>
        <w:t xml:space="preserve">Activité conservée</w:t>
      </w:r>
    </w:p>
    <w:p>
      <w:pPr>
        <w:pStyle w:val="Corps"/>
      </w:pPr>
      <w:r>
        <w:t xml:space="preserve">L'apporteuse conserve [Activité conservée par l'apporteuse]; les moyens communs sont répartis selon [Répartition des moyens partagés]. Les actifs, contrats, salariés et fonctions conservés sont distingués de ceux apportés; les services partagés font l'objet d'une allocation ou d'une convention transitoire vérifiable.</w:t>
      </w:r>
    </w:p>
    <w:p>
      <w:pPr>
        <w:pStyle w:val="Intertitre"/>
      </w:pPr>
      <w:r>
        <w:t xml:space="preserve">Motifs économiques</w:t>
      </w:r>
    </w:p>
    <w:p>
      <w:pPr>
        <w:pStyle w:val="Corps"/>
      </w:pPr>
      <w:r>
        <w:t xml:space="preserve">Les motifs économiques valables et les effets attendus sont [Motifs et buts de l'apport]; ils ne sont pas déduits du seul choix fiscal. Les synergies, simplifications ou spécialisations attendues sont reliées à des faits et documents contemporains; aucun avantage fiscal n'est présenté comme motif économique suffisant.</w:t>
      </w:r>
    </w:p>
    <w:p>
      <w:pPr>
        <w:pStyle w:val="Intertitre"/>
      </w:pPr>
      <w:r>
        <w:t xml:space="preserve"> — choisir une seule variante</w:t>
      </w:r>
    </w:p>
    <w:p>
      <w:pPr>
        <w:pStyle w:val="Variante"/>
      </w:pPr>
      <w:r>
        <w:t xml:space="preserve">Variante : Apport contractuel de droit commun</w:t>
      </w:r>
    </w:p>
    <w:p>
      <w:pPr>
        <w:pStyle w:val="Corps"/>
      </w:pPr>
      <w:r>
        <w:t xml:space="preserve">L'opération demeure régie par le contrat d'apport, les règles de l'apport en nature et les décisions propres aux sociétés, selon [Conditions générales de l'apport]. Cette route n'emporte ni transmission universelle ni application automatique des effets du régime des scissions; chaque actif, passif, contrat et formalité reste traité selon son régime propre.</w:t>
      </w:r>
    </w:p>
    <w:p>
      <w:pPr>
        <w:pStyle w:val="Variante"/>
      </w:pPr>
      <w:r>
        <w:t xml:space="preserve">Variante : Apport soumis au régime des scissions</w:t>
      </w:r>
    </w:p>
    <w:p>
      <w:pPr>
        <w:pStyle w:val="Corps"/>
      </w:pPr>
      <w:r>
        <w:t xml:space="preserve">Les sociétés soumettent d'un commun accord l'opération au régime légal applicable, sur la base des décisions [Décision de l'organe dirigeant de l'apporteuse] et [Décision de l'organe dirigeant de la bénéficiaire]. Le choix est exprès et cohérent avec les rapports, dépôts, publicités, droits des créanciers et décisions exigés; les dispenses éventuelles sont justifiées séparément.</w:t>
      </w:r>
    </w:p>
    <w:p>
      <w:pPr>
        <w:pStyle w:val="Variante"/>
      </w:pPr>
      <w:r>
        <w:t xml:space="preserve">Variante : Apport simplifié intragroupe</w:t>
      </w:r>
    </w:p>
    <w:p>
      <w:pPr>
        <w:pStyle w:val="Corps"/>
      </w:pPr>
      <w:r>
        <w:t xml:space="preserve">La route simplifiée repose sur [Structure de détention] et [Continuité de détention]; les dispenses sont limitées à leur champ légal et le droit des minoritaires s'apprécie au seuil officiel de [Seuil légal de demande d'assemblée par les minoritaires] pour cent.</w:t>
      </w:r>
    </w:p>
    <w:p>
      <w:pPr>
        <w:pStyle w:val="Intertitre"/>
      </w:pPr>
      <w:r>
        <w:t xml:space="preserve">Arrêté du projet</w:t>
      </w:r>
    </w:p>
    <w:p>
      <w:pPr>
        <w:pStyle w:val="Corps"/>
      </w:pPr>
      <w:r>
        <w:t xml:space="preserve">Le projet a été arrêté selon [Décision de l'organe dirigeant de l'apporteuse] et [Décision de l'organe dirigeant de la bénéficiaire]; chaque décision identifie le texte et autorise sa signature. Les procès-verbaux reproduisent le périmètre, la valeur, la rémunération et la route juridique retenue, puis habilitent nominativement la signature et les ajustements purement matériels.</w:t>
      </w:r>
    </w:p>
    <w:p>
      <w:pPr>
        <w:pStyle w:val="Intertitre"/>
      </w:pPr>
      <w:r>
        <w:t xml:space="preserve">Clause optionnelle : Approbations des associés</w:t>
      </w:r>
    </w:p>
    <w:p>
      <w:pPr>
        <w:pStyle w:val="Corps"/>
      </w:pPr>
      <w:r>
        <w:t xml:space="preserve">Les approbations requises résultent de [Décision des associés de l'apporteuse] et [Décision des associés de la bénéficiaire]. Chaque assemblée statue sur le texte complet et ses annexes selon son quorum et sa majorité propres; le résultat, les voix et les pouvoirs sont conservés avec l'acte.</w:t>
      </w:r>
    </w:p>
    <w:p>
      <w:pPr>
        <w:pStyle w:val="Intertitre"/>
      </w:pPr>
      <w:r>
        <w:t xml:space="preserve">Clause optionnelle : Rapport des organes dirigeants</w:t>
      </w:r>
    </w:p>
    <w:p>
      <w:pPr>
        <w:pStyle w:val="Corps"/>
      </w:pPr>
      <w:r>
        <w:t xml:space="preserve">Le rapport et l'information sur les modifications importantes sont [Rapport des organes dirigeants]. Le rapport explique les motifs, méthodes de valorisation, rémunération, conséquences sociales et modifications intervenues depuis l'arrêté du projet, avec renvoi aux pièces correspondantes.</w:t>
      </w:r>
    </w:p>
    <w:p>
      <w:pPr>
        <w:pStyle w:val="Intertitre"/>
      </w:pPr>
      <w:r>
        <w:t xml:space="preserve"> — choisir une seule variante</w:t>
      </w:r>
    </w:p>
    <w:p>
      <w:pPr>
        <w:pStyle w:val="Variante"/>
      </w:pPr>
      <w:r>
        <w:t xml:space="preserve">Variante : Rapport du commissaire</w:t>
      </w:r>
    </w:p>
    <w:p>
      <w:pPr>
        <w:pStyle w:val="Corps"/>
      </w:pPr>
      <w:r>
        <w:t xml:space="preserve">Le contrôle de la valeur des apports et des avantages particuliers résulte de [Rapport du commissaire]. Le rapport est identifié par son auteur, sa mission, sa date et sa conclusion; toute réserve ou limite est reprise dans le dossier avant l'approbation de l'opération.</w:t>
      </w:r>
    </w:p>
    <w:p>
      <w:pPr>
        <w:pStyle w:val="Variante"/>
      </w:pPr>
      <w:r>
        <w:t xml:space="preserve">Variante : Renonciation ou dispense</w:t>
      </w:r>
    </w:p>
    <w:p>
      <w:pPr>
        <w:pStyle w:val="Corps"/>
      </w:pPr>
      <w:r>
        <w:t xml:space="preserve">La renonciation ou dispense est précisément documentée par [Renonciation ou dispense documentée] et ne couvre aucune formalité demeurant obligatoire. Les conditions, bénéficiaires et date de la renonciation sont contrôlés; une dispense de rapport ne vaut ni validation des valeurs ni renonciation à une décision sociale obligatoire.</w:t>
      </w:r>
    </w:p>
    <w:p>
      <w:pPr>
        <w:pStyle w:val="Intertitre"/>
      </w:pPr>
      <w:r>
        <w:t xml:space="preserve">Clause optionnelle : Droit des minoritaires</w:t>
      </w:r>
    </w:p>
    <w:p>
      <w:pPr>
        <w:pStyle w:val="Corps"/>
      </w:pPr>
      <w:r>
        <w:t xml:space="preserve">Le droit de demander une décision collective est organisé selon [Droit de demande des minoritaires]. La procédure précise l'information disponible, le délai, le seuil applicable par resolver officiel et les conséquences d'une demande régulière sur le calendrier des décisions.</w:t>
      </w:r>
    </w:p>
    <w:p>
      <w:pPr>
        <w:pStyle w:val="Intertitre"/>
      </w:pPr>
      <w:r>
        <w:t xml:space="preserve"> — choisir une seule variante</w:t>
      </w:r>
    </w:p>
    <w:p>
      <w:pPr>
        <w:pStyle w:val="Variante"/>
      </w:pPr>
      <w:r>
        <w:t xml:space="preserve">Variante : Attribution des titres à l'apporteuse</w:t>
      </w:r>
    </w:p>
    <w:p>
      <w:pPr>
        <w:pStyle w:val="Corps"/>
      </w:pPr>
      <w:r>
        <w:t xml:space="preserve">Les titres rémunérant l'apport sont remis à la société apporteuse selon [Titres remis en rémunération] et [Modalités de remise des titres]. Le nombre, la catégorie, les droits, la date de jouissance et les modalités d'inscription des titres concordent avec l'augmentation de capital et la prime d'apport.</w:t>
      </w:r>
    </w:p>
    <w:p>
      <w:pPr>
        <w:pStyle w:val="Intertitre"/>
      </w:pPr>
      <w:r>
        <w:t xml:space="preserve">Clause optionnelle : Attribution directe aux associés</w:t>
      </w:r>
    </w:p>
    <w:p>
      <w:pPr>
        <w:pStyle w:val="Corps"/>
      </w:pPr>
      <w:r>
        <w:t xml:space="preserve">Les titres sont répartis directement au bénéfice des associés selon [Modalités d'attribution directe des titres] et [Critères de répartition des titres]. La répartition indique chaque bénéficiaire, quantité, catégorie et rompu; elle ne peut se cumuler avec une remise des mêmes titres à l'apporteuse.</w:t>
      </w:r>
    </w:p>
    <w:p>
      <w:pPr>
        <w:pStyle w:val="Intertitre"/>
      </w:pPr>
      <w:r>
        <w:t xml:space="preserve"> — choisir une seule variante</w:t>
      </w:r>
    </w:p>
    <w:p>
      <w:pPr>
        <w:pStyle w:val="Variante"/>
      </w:pPr>
      <w:r>
        <w:t xml:space="preserve">Variante : Réduction de capital de l'apporteuse</w:t>
      </w:r>
    </w:p>
    <w:p>
      <w:pPr>
        <w:pStyle w:val="Corps"/>
      </w:pPr>
      <w:r>
        <w:t xml:space="preserve">L'attribution directe est mise en œuvre par la réduction de capital [Réduction de capital de l'apporteuse]. Le montant, les titres annulés, l'imputation et les droits des créanciers sont rapprochés de la décision de réduction et des capitaux propres disponibles.</w:t>
      </w:r>
    </w:p>
    <w:p>
      <w:pPr>
        <w:pStyle w:val="Variante"/>
      </w:pPr>
      <w:r>
        <w:t xml:space="preserve">Variante : Imputation sur les capitaux propres</w:t>
      </w:r>
    </w:p>
    <w:p>
      <w:pPr>
        <w:pStyle w:val="Corps"/>
      </w:pPr>
      <w:r>
        <w:t xml:space="preserve">L'attribution directe est imputée sur les capitaux propres selon [Imputation sur les capitaux propres]. Le poste de capitaux propres débité, son montant et sa disponibilité sont justifiés par les comptes et la décision compétente, sans créer une distribution non décidée.</w:t>
      </w:r>
    </w:p>
    <w:p>
      <w:pPr>
        <w:pStyle w:val="Intertitre"/>
      </w:pPr>
      <w:r>
        <w:t xml:space="preserve">Périmètre de l'apport</w:t>
      </w:r>
    </w:p>
    <w:p>
      <w:pPr>
        <w:pStyle w:val="Corps"/>
      </w:pPr>
      <w:r>
        <w:t xml:space="preserve">L'apport comprend les actifs [Inventaire des actifs apportés] et le passif [Inventaire du passif transféré] affectés à l'activité, selon [Principes d'affectation des éléments]. Chaque élément est rattaché par une règle fonctionnelle et une annexe; les passifs inconnus, éléments mixtes et erreurs d'affectation suivent les mécanismes spécifiques du traité.</w:t>
      </w:r>
    </w:p>
    <w:p>
      <w:pPr>
        <w:pStyle w:val="Intertitre"/>
      </w:pPr>
      <w:r>
        <w:t xml:space="preserve">Actifs apportés</w:t>
      </w:r>
    </w:p>
    <w:p>
      <w:pPr>
        <w:pStyle w:val="Corps"/>
      </w:pPr>
      <w:r>
        <w:t xml:space="preserve">Les actifs comprennent [Inventaire des actifs apportés] ainsi que [Trésorerie et créances apportées]; l'inventaire décrit leur nature, situation et accessoires sans étendre le périmètre par supposition.</w:t>
      </w:r>
    </w:p>
    <w:p>
      <w:pPr>
        <w:pStyle w:val="Intertitre"/>
      </w:pPr>
      <w:r>
        <w:t xml:space="preserve">Passifs transférés</w:t>
      </w:r>
    </w:p>
    <w:p>
      <w:pPr>
        <w:pStyle w:val="Corps"/>
      </w:pPr>
      <w:r>
        <w:t xml:space="preserve">Le passif comprend [Inventaire du passif transféré], [Dettes financières transférées] et [Dettes fiscales et sociales transférées] dans la mesure de leur rattachement documenté. L'inventaire distingue dettes certaines, provisions, passifs éventuels, dettes fiscales et sociales, engagements contractuels et coûts de séparation avec leur date de référence.</w:t>
      </w:r>
    </w:p>
    <w:p>
      <w:pPr>
        <w:pStyle w:val="Intertitre"/>
      </w:pPr>
      <w:r>
        <w:t xml:space="preserve">Éléments exclus</w:t>
      </w:r>
    </w:p>
    <w:p>
      <w:pPr>
        <w:pStyle w:val="Corps"/>
      </w:pPr>
      <w:r>
        <w:t xml:space="preserve">Les actifs [Actifs exclus de l'apport] et passifs [Passifs exclus de l'apport] demeurent à l'apporteuse; toute ambiguïté est résolue par les principes [Principes d'affectation des éléments]. Les exclusions sont interprétées strictement et assorties des moyens nécessaires à leur conservation; aucune exclusion ne prive la branche apportée d'un élément indispensable non remplacé.</w:t>
      </w:r>
    </w:p>
    <w:p>
      <w:pPr>
        <w:pStyle w:val="Intertitre"/>
      </w:pPr>
      <w:r>
        <w:t xml:space="preserve">Engagements hors bilan</w:t>
      </w:r>
    </w:p>
    <w:p>
      <w:pPr>
        <w:pStyle w:val="Corps"/>
      </w:pPr>
      <w:r>
        <w:t xml:space="preserve">Les garanties, cautions, engagements et risques hors bilan compris dans l'apport sont [Engagements hors bilan]. Pour chaque engagement sont indiqués bénéficiaire, montant maximal, échéance, fait générateur et contre-garantie; son transfert ou maintien est confirmé par les actes applicables.</w:t>
      </w:r>
    </w:p>
    <w:p>
      <w:pPr>
        <w:pStyle w:val="Intertitre"/>
      </w:pPr>
      <w:r>
        <w:t xml:space="preserve">Clause optionnelle : Contrats</w:t>
      </w:r>
    </w:p>
    <w:p>
      <w:pPr>
        <w:pStyle w:val="Corps"/>
      </w:pPr>
      <w:r>
        <w:t xml:space="preserve">Les contrats apportés sont [Contrats apportés]; les consentements et notifications sont [Consentements et notifications contractuels]. Chaque contrat est identifié par parties, date, objet et échéance; clauses de changement de contrôle, intuitu personae, résiliation, consentement et notification sont traitées séparément.</w:t>
      </w:r>
    </w:p>
    <w:p>
      <w:pPr>
        <w:pStyle w:val="Intertitre"/>
      </w:pPr>
      <w:r>
        <w:t xml:space="preserve">Clause optionnelle : Immeubles et droits immobiliers</w:t>
      </w:r>
    </w:p>
    <w:p>
      <w:pPr>
        <w:pStyle w:val="Corps"/>
      </w:pPr>
      <w:r>
        <w:t xml:space="preserve">Les immeubles et droits apportés sont [Immeubles et droits immobiliers] et font l'objet des formalités propres recensées aux annexes. Les références cadastrales, titres, servitudes, baux, sûretés et diagnostics sont rapprochés des actes; la publicité foncière et les pouvoirs notariés restent individualisés.</w:t>
      </w:r>
    </w:p>
    <w:p>
      <w:pPr>
        <w:pStyle w:val="Intertitre"/>
      </w:pPr>
      <w:r>
        <w:t xml:space="preserve">Clause optionnelle : Propriété intellectuelle</w:t>
      </w:r>
    </w:p>
    <w:p>
      <w:pPr>
        <w:pStyle w:val="Corps"/>
      </w:pPr>
      <w:r>
        <w:t xml:space="preserve">Les droits, inscriptions, licences et noms de domaine apportés sont [Droits de propriété intellectuelle]. L'annexe précise titulaire, numéro, territoire, durée, licences, copropriété et inscriptions; les codes, noms de domaine et éléments non transférables sont traités expressément.</w:t>
      </w:r>
    </w:p>
    <w:p>
      <w:pPr>
        <w:pStyle w:val="Intertitre"/>
      </w:pPr>
      <w:r>
        <w:t xml:space="preserve">Clause optionnelle : Autorisations et agréments</w:t>
      </w:r>
    </w:p>
    <w:p>
      <w:pPr>
        <w:pStyle w:val="Corps"/>
      </w:pPr>
      <w:r>
        <w:t xml:space="preserve">Les autorisations liées à la branche sont [Autorisations et agréments]; leur transfert, maintien ou renouvellement est une condition distincte. Pour chaque autorisation sont vérifiés titulaire, activité, territoire, durée, conditions de transfert et autorité compétente; une simple notification n'est pas assimilée à un agrément.</w:t>
      </w:r>
    </w:p>
    <w:p>
      <w:pPr>
        <w:pStyle w:val="Intertitre"/>
      </w:pPr>
      <w:r>
        <w:t xml:space="preserve">Clause optionnelle : Litiges</w:t>
      </w:r>
    </w:p>
    <w:p>
      <w:pPr>
        <w:pStyle w:val="Corps"/>
      </w:pPr>
      <w:r>
        <w:t xml:space="preserve">Les litiges, procédures et provisions liés à la branche sont [Litiges liés à la branche]. Chaque dossier précise parties, juridiction, prétentions, provision, conseil, calendrier et répartition de la conduite et du coût après réalisation.</w:t>
      </w:r>
    </w:p>
    <w:p>
      <w:pPr>
        <w:pStyle w:val="Intertitre"/>
      </w:pPr>
      <w:r>
        <w:t xml:space="preserve">Sûretés</w:t>
      </w:r>
    </w:p>
    <w:p>
      <w:pPr>
        <w:pStyle w:val="Corps"/>
      </w:pPr>
      <w:r>
        <w:t xml:space="preserve">Les sûretés données ou reçues et leur sort sont [Sûretés données et reçues]. Le créancier, l'assiette, le montant garanti, le rang, la durée et les conditions de maintien, transfert ou mainlevée sont documentés pour chaque sûreté.</w:t>
      </w:r>
    </w:p>
    <w:p>
      <w:pPr>
        <w:pStyle w:val="Intertitre"/>
      </w:pPr>
      <w:r>
        <w:t xml:space="preserve">Ajustement de périmètre</w:t>
      </w:r>
    </w:p>
    <w:p>
      <w:pPr>
        <w:pStyle w:val="Corps"/>
      </w:pPr>
      <w:r>
        <w:t xml:space="preserve">Toute omission ou erreur d'affectation est corrigée selon [Ajustement du périmètre après réalisation] sans modifier la valeur économique convenue hors procédure prévue. La procédure impose notification, preuve, délai, transfert correctif et compensation des coûts; elle ne permet pas d'ajouter un élément volontairement exclu ni de modifier la rémunération sans calcul prévu.</w:t>
      </w:r>
    </w:p>
    <w:p>
      <w:pPr>
        <w:pStyle w:val="Intertitre"/>
      </w:pPr>
      <w:r>
        <w:t xml:space="preserve">Comptes de référence</w:t>
      </w:r>
    </w:p>
    <w:p>
      <w:pPr>
        <w:pStyle w:val="Corps"/>
      </w:pPr>
      <w:r>
        <w:t xml:space="preserve">Les évaluations reposent sur [Comptes de référence de l'apporteuse] et [Comptes de référence de la bénéficiaire], arrêtés aux dates [Dates des comptes de référence]. Les référentiels, méthodes, événements postérieurs et rapprochements entre balances sont explicités; les comptes restent annexés et cohérents avec les inventaires et valeurs retenues.</w:t>
      </w:r>
    </w:p>
    <w:p>
      <w:pPr>
        <w:pStyle w:val="Intertitre"/>
      </w:pPr>
      <w:r>
        <w:t xml:space="preserve"> — choisir une seule variante</w:t>
      </w:r>
    </w:p>
    <w:p>
      <w:pPr>
        <w:pStyle w:val="Variante"/>
      </w:pPr>
      <w:r>
        <w:t xml:space="preserve">Variante : Valeurs comptables</w:t>
      </w:r>
    </w:p>
    <w:p>
      <w:pPr>
        <w:pStyle w:val="Corps"/>
      </w:pPr>
      <w:r>
        <w:t xml:space="preserve">Les éléments sont transcrits selon [Méthode de valorisation] à partir des valeurs comptables vérifiées. La méthode précise continuité des valeurs, amortissements, provisions, dépréciations et retraitements autorisés; chaque montant est rapproché des comptes de référence.</w:t>
      </w:r>
    </w:p>
    <w:p>
      <w:pPr>
        <w:pStyle w:val="Variante"/>
      </w:pPr>
      <w:r>
        <w:t xml:space="preserve">Variante : Valeurs réelles</w:t>
      </w:r>
    </w:p>
    <w:p>
      <w:pPr>
        <w:pStyle w:val="Corps"/>
      </w:pPr>
      <w:r>
        <w:t xml:space="preserve">Les éléments sont évalués selon [Méthode de valorisation] et les ajustements [Ajustements de valorisation]. Les méthodes, comparables, hypothèses, taux et sensibilités sont documentés par catégorie d'actif et de passif, sans compenser une moins-value par un poste non évalué.</w:t>
      </w:r>
    </w:p>
    <w:p>
      <w:pPr>
        <w:pStyle w:val="Intertitre"/>
      </w:pPr>
      <w:r>
        <w:t xml:space="preserve">Valeur nette de l'apport</w:t>
      </w:r>
    </w:p>
    <w:p>
      <w:pPr>
        <w:pStyle w:val="Corps"/>
      </w:pPr>
      <w:r>
        <w:t xml:space="preserve">L'actif brut est [Valeur brute des actifs], le passif pris en charge [Valeur du passif transféré] et l'actif net [Valeur nette de l'apport]. Le tableau de calcul rapproche poste par poste l'actif brut, les dépréciations et le passif, puis explique tout écart avec les comptes et la rémunération émise.</w:t>
      </w:r>
    </w:p>
    <w:p>
      <w:pPr>
        <w:pStyle w:val="Intertitre"/>
      </w:pPr>
      <w:r>
        <w:t xml:space="preserve">Clause optionnelle : Ajustements de valeur</w:t>
      </w:r>
    </w:p>
    <w:p>
      <w:pPr>
        <w:pStyle w:val="Corps"/>
      </w:pPr>
      <w:r>
        <w:t xml:space="preserve">Les ajustements entre référence et réalisation sont [Ajustements de valorisation]. Chaque ajustement indique fait générateur, méthode, responsable du calcul, pièces, seuil, date et incidence sur actif net, prime ou nombre de titres.</w:t>
      </w:r>
    </w:p>
    <w:p>
      <w:pPr>
        <w:pStyle w:val="Intertitre"/>
      </w:pPr>
      <w:r>
        <w:t xml:space="preserve">Clause optionnelle : Perte intercalaire</w:t>
      </w:r>
    </w:p>
    <w:p>
      <w:pPr>
        <w:pStyle w:val="Corps"/>
      </w:pPr>
      <w:r>
        <w:t xml:space="preserve">La perte intercalaire est affectée selon [Traitement de la perte intercalaire] sans modifier automatiquement la rémunération. Le mécanisme précise calcul, plafond, imputation et éventuelle reconstitution; il ne transforme pas une perte non mesurée en réduction automatique du nombre de titres.</w:t>
      </w:r>
    </w:p>
    <w:p>
      <w:pPr>
        <w:pStyle w:val="Intertitre"/>
      </w:pPr>
      <w:r>
        <w:t xml:space="preserve">Modifications importantes</w:t>
      </w:r>
    </w:p>
    <w:p>
      <w:pPr>
        <w:pStyle w:val="Corps"/>
      </w:pPr>
      <w:r>
        <w:t xml:space="preserve">Les modifications importantes sont suivies et communiquées selon [Traitement des modifications importantes]. Toute variation significative du périmètre, des valeurs, du passif ou de l'activité est notifiée, chiffrée et soumise à l'organe ou au commissaire lorsque son incidence l'exige.</w:t>
      </w:r>
    </w:p>
    <w:p>
      <w:pPr>
        <w:pStyle w:val="Intertitre"/>
      </w:pPr>
      <w:r>
        <w:t xml:space="preserve">Rémunération de l'apport</w:t>
      </w:r>
    </w:p>
    <w:p>
      <w:pPr>
        <w:pStyle w:val="Corps"/>
      </w:pPr>
      <w:r>
        <w:t xml:space="preserve">La rémunération consiste en [Titres remis en rémunération], soit [Nombre de titres émis] titres de valeur nominale [Valeur nominale des titres émis], remis selon [Modalités de remise des titres]. Le calcul expose rapport entre valeur nette, nombre de titres et nominal, traite rompus et droits particuliers et concorde avec les décisions et le bulletin d'apport.</w:t>
      </w:r>
    </w:p>
    <w:p>
      <w:pPr>
        <w:pStyle w:val="Intertitre"/>
      </w:pPr>
      <w:r>
        <w:t xml:space="preserve">Augmentation de capital</w:t>
      </w:r>
    </w:p>
    <w:p>
      <w:pPr>
        <w:pStyle w:val="Corps"/>
      </w:pPr>
      <w:r>
        <w:t xml:space="preserve">Le capital de la bénéficiaire passe de [Capital bénéficiaire avant apport] à [Capital bénéficiaire après apport] par une augmentation de [Montant de l'augmentation de capital]. La décision indique nombre et catégorie des titres, bénéficiaire, date de jouissance, libération par l'apport et modification corrélative des statuts.</w:t>
      </w:r>
    </w:p>
    <w:p>
      <w:pPr>
        <w:pStyle w:val="Intertitre"/>
      </w:pPr>
      <w:r>
        <w:t xml:space="preserve">Prime d'apport</w:t>
      </w:r>
    </w:p>
    <w:p>
      <w:pPr>
        <w:pStyle w:val="Corps"/>
      </w:pPr>
      <w:r>
        <w:t xml:space="preserve">La prime d'apport est [Prime d'apport] et reçoit l'affectation décidée dans les actes sociaux. Son calcul correspond à l'écart entre actif net et nominal émis; toute imputation de frais, pertes ou affectation ultérieure relève d'une décision compétente distincte.</w:t>
      </w:r>
    </w:p>
    <w:p>
      <w:pPr>
        <w:pStyle w:val="Intertitre"/>
      </w:pPr>
      <w:r>
        <w:t xml:space="preserve">Jouissance des titres</w:t>
      </w:r>
    </w:p>
    <w:p>
      <w:pPr>
        <w:pStyle w:val="Corps"/>
      </w:pPr>
      <w:r>
        <w:t xml:space="preserve">Les titres remis portent jouissance au [Date de jouissance des titres] selon les droits décrits dans [Titres remis en rémunération]. Les droits aux bénéfices, au vote et aux distributions sont distingués de la date juridique de création; aucune jouissance rétroactive n'est supposée sans base comptable et sociale cohérente.</w:t>
      </w:r>
    </w:p>
    <w:p>
      <w:pPr>
        <w:pStyle w:val="Intertitre"/>
      </w:pPr>
      <w:r>
        <w:t xml:space="preserve">Clause optionnelle : Droits spéciaux</w:t>
      </w:r>
    </w:p>
    <w:p>
      <w:pPr>
        <w:pStyle w:val="Corps"/>
      </w:pPr>
      <w:r>
        <w:t xml:space="preserve">Les droits spéciaux et avantages particuliers sont [Droits spéciaux et avantages particuliers]. Chaque avantage précise bénéficiaire, nature, durée, valeur et incidence sur les autres titres; le rapport requis et la décision d'approbation sont identifiés.</w:t>
      </w:r>
    </w:p>
    <w:p>
      <w:pPr>
        <w:pStyle w:val="Intertitre"/>
      </w:pPr>
      <w:r>
        <w:t xml:space="preserve"> — choisir une seule variante</w:t>
      </w:r>
    </w:p>
    <w:p>
      <w:pPr>
        <w:pStyle w:val="Variante"/>
      </w:pPr>
      <w:r>
        <w:t xml:space="preserve">Variante : Répartition contractuelle du passif</w:t>
      </w:r>
    </w:p>
    <w:p>
      <w:pPr>
        <w:pStyle w:val="Corps"/>
      </w:pPr>
      <w:r>
        <w:t xml:space="preserve">Hors option pour le régime des scissions, le passif, les recours et garanties entre les parties sont organisés par [Répartition contractuelle du passif et des recours], sans présenter ce mécanisme comme la solidarité légale de l'article L. 236-29.</w:t>
      </w:r>
    </w:p>
    <w:p>
      <w:pPr>
        <w:pStyle w:val="Variante"/>
      </w:pPr>
      <w:r>
        <w:t xml:space="preserve">Variante : Solidarité légale</w:t>
      </w:r>
    </w:p>
    <w:p>
      <w:pPr>
        <w:pStyle w:val="Corps"/>
      </w:pPr>
      <w:r>
        <w:t xml:space="preserve">L'apporteuse et la bénéficiaire sont débitrices solidaires selon [Régime de solidarité retenu], dans les limites légales propres à la bénéficiaire. Le périmètre des dettes concernées, les recours internes et les limites applicables à la bénéficiaire sont explicités sans étendre la solidarité à un passif exclu.</w:t>
      </w:r>
    </w:p>
    <w:p>
      <w:pPr>
        <w:pStyle w:val="Variante"/>
      </w:pPr>
      <w:r>
        <w:t xml:space="preserve">Variante : Exclusion de solidarité</w:t>
      </w:r>
    </w:p>
    <w:p>
      <w:pPr>
        <w:pStyle w:val="Corps"/>
      </w:pPr>
      <w:r>
        <w:t xml:space="preserve">La solidarité est exclue et le passif réparti selon [Répartition du passif sans solidarité]; cette stipulation ouvre les droits d'opposition applicables. La clause identifie les dettes supportées par chaque société, les recours et garanties internes et l'ouverture corrélative de la procédure d'opposition des créanciers.</w:t>
      </w:r>
    </w:p>
    <w:p>
      <w:pPr>
        <w:pStyle w:val="Intertitre"/>
      </w:pPr>
      <w:r>
        <w:t xml:space="preserve">Créanciers concernés</w:t>
      </w:r>
    </w:p>
    <w:p>
      <w:pPr>
        <w:pStyle w:val="Corps"/>
      </w:pPr>
      <w:r>
        <w:t xml:space="preserve">Les créanciers antérieurs à la publicité sont recensés dans [Créanciers concernés]. Le tableau mentionne identité, créance, origine, montant, échéance, sûreté et société débitrice avant et après l'apport afin d'organiser notifications et mesures de protection.</w:t>
      </w:r>
    </w:p>
    <w:p>
      <w:pPr>
        <w:pStyle w:val="Intertitre"/>
      </w:pPr>
      <w:r>
        <w:t xml:space="preserve">Clause optionnelle : Délai d'opposition</w:t>
      </w:r>
    </w:p>
    <w:p>
      <w:pPr>
        <w:pStyle w:val="Corps"/>
      </w:pPr>
      <w:r>
        <w:t xml:space="preserve">Le suivi couvre [Délai légal d'opposition des créanciers en jours] jours à compter du point de départ légal jusqu'au [Fin du délai d'opposition]. Le point de départ et l'échéance proviennent du resolver officiel et de la preuve de publicité; aucune réalisation n'est déclarée libre d'opposition avant vérification du registre.</w:t>
      </w:r>
    </w:p>
    <w:p>
      <w:pPr>
        <w:pStyle w:val="Intertitre"/>
      </w:pPr>
      <w:r>
        <w:t xml:space="preserve">Clause optionnelle : Oppositions formées</w:t>
      </w:r>
    </w:p>
    <w:p>
      <w:pPr>
        <w:pStyle w:val="Corps"/>
      </w:pPr>
      <w:r>
        <w:t xml:space="preserve">Les oppositions sont [État des oppositions] et les remboursements ou garanties [Remboursements ou garanties]. Chaque opposition est suivie jusqu'à décision, retrait, remboursement ou constitution de garantie; la mesure retenue et son exécution sont annexées au constat de réalisation.</w:t>
      </w:r>
    </w:p>
    <w:p>
      <w:pPr>
        <w:pStyle w:val="Intertitre"/>
      </w:pPr>
      <w:r>
        <w:t xml:space="preserve">Date d'effet juridique</w:t>
      </w:r>
    </w:p>
    <w:p>
      <w:pPr>
        <w:pStyle w:val="Corps"/>
      </w:pPr>
      <w:r>
        <w:t xml:space="preserve">L'apport prend effet le [Date d'effet juridique] sous réserve de la réalisation des conditions et décisions requises. Cette date est distinguée des dates comptable, fiscale, sociale et d'opposabilité; aucun effet envers un tiers n'est anticipé avant la formalité qui le conditionne.</w:t>
      </w:r>
    </w:p>
    <w:p>
      <w:pPr>
        <w:pStyle w:val="Intertitre"/>
      </w:pPr>
      <w:r>
        <w:t xml:space="preserve"> — choisir une seule variante</w:t>
      </w:r>
    </w:p>
    <w:p>
      <w:pPr>
        <w:pStyle w:val="Variante"/>
      </w:pPr>
      <w:r>
        <w:t xml:space="preserve">Variante : Effet comptable prospectif</w:t>
      </w:r>
    </w:p>
    <w:p>
      <w:pPr>
        <w:pStyle w:val="Corps"/>
      </w:pPr>
      <w:r>
        <w:t xml:space="preserve">Les opérations de la branche sont comptabilisées par la bénéficiaire à compter du [Date d'effet comptable]. Les produits, charges, flux et opérations antérieurs restent chez l'apporteuse; un arrêté de coupure et les comptes réciproques garantissent l'absence de double comptabilisation.</w:t>
      </w:r>
    </w:p>
    <w:p>
      <w:pPr>
        <w:pStyle w:val="Variante"/>
      </w:pPr>
      <w:r>
        <w:t xml:space="preserve">Variante : Effet comptable rétroactif</w:t>
      </w:r>
    </w:p>
    <w:p>
      <w:pPr>
        <w:pStyle w:val="Corps"/>
      </w:pPr>
      <w:r>
        <w:t xml:space="preserve">À compter du [Date d'effet comptable], les opérations sont traitées selon [Traitement des opérations intercalaires] dans les limites documentées. La rétroactivité ne modifie pas la date juridique envers les tiers; les opérations intercalaires sont recensées et retraitées dans les limites comptables et fiscales applicables.</w:t>
      </w:r>
    </w:p>
    <w:p>
      <w:pPr>
        <w:pStyle w:val="Intertitre"/>
      </w:pPr>
      <w:r>
        <w:t xml:space="preserve">Clause optionnelle : Transfert des salariés</w:t>
      </w:r>
    </w:p>
    <w:p>
      <w:pPr>
        <w:pStyle w:val="Corps"/>
      </w:pPr>
      <w:r>
        <w:t xml:space="preserve">Les contrats des salariés [Salariés rattachés à la branche] se poursuivent selon [Modalités de transfert des contrats]. La liste précise contrat, emploi, ancienneté, rémunération, absence, protection et passifs associés; les critères de rattachement à l'entité économique sont documentés individuellement.</w:t>
      </w:r>
    </w:p>
    <w:p>
      <w:pPr>
        <w:pStyle w:val="Intertitre"/>
      </w:pPr>
      <w:r>
        <w:t xml:space="preserve">Clause optionnelle : Information-consultation</w:t>
      </w:r>
    </w:p>
    <w:p>
      <w:pPr>
        <w:pStyle w:val="Corps"/>
      </w:pPr>
      <w:r>
        <w:t xml:space="preserve">La procédure sociale est [Information-consultation sociale]. Cette stipulation s'applique avec les autres décisions et annexes de l'opération, dans le périmètre expressément arrêté par les parties.</w:t>
      </w:r>
    </w:p>
    <w:p>
      <w:pPr>
        <w:pStyle w:val="Intertitre"/>
      </w:pPr>
      <w:r>
        <w:t xml:space="preserve">Clause optionnelle : Statut collectif</w:t>
      </w:r>
    </w:p>
    <w:p>
      <w:pPr>
        <w:pStyle w:val="Corps"/>
      </w:pPr>
      <w:r>
        <w:t xml:space="preserve">Le statut collectif et les obligations sociales sont [Traitement du statut collectif] et [Obligations sociales transférées]. Conventions, accords, usages, épargne, protection sociale et représentants sont inventoriés avec leurs règles de survie, dénonciation ou mise en cause et les obligations d'information.</w:t>
      </w:r>
    </w:p>
    <w:p>
      <w:pPr>
        <w:pStyle w:val="Intertitre"/>
      </w:pPr>
      <w:r>
        <w:t xml:space="preserve">Données personnelles</w:t>
      </w:r>
    </w:p>
    <w:p>
      <w:pPr>
        <w:pStyle w:val="Corps"/>
      </w:pPr>
      <w:r>
        <w:t xml:space="preserve">La continuité, l'information et la sécurité des traitements suivent [Mesures relatives aux données personnelles]. Les finalités, bases, catégories, personnes, accès, durées et mesures de sécurité sont recensés; la remise respecte minimisation, information et continuité des droits.</w:t>
      </w:r>
    </w:p>
    <w:p>
      <w:pPr>
        <w:pStyle w:val="Intertitre"/>
      </w:pPr>
      <w:r>
        <w:t xml:space="preserve">Livres et données</w:t>
      </w:r>
    </w:p>
    <w:p>
      <w:pPr>
        <w:pStyle w:val="Corps"/>
      </w:pPr>
      <w:r>
        <w:t xml:space="preserve">Les livres, contrats, archives, accès et données sont remis selon [Remise des livres et données]. Un bordereau contradictoire recense originaux, copies, formats, historiques, mots de passe et responsables; les documents conservés par l'apporteuse restent accessibles selon une obligation de coopération.</w:t>
      </w:r>
    </w:p>
    <w:p>
      <w:pPr>
        <w:pStyle w:val="Intertitre"/>
      </w:pPr>
      <w:r>
        <w:t xml:space="preserve"> — choisir une seule variante</w:t>
      </w:r>
    </w:p>
    <w:p>
      <w:pPr>
        <w:pStyle w:val="Variante"/>
      </w:pPr>
      <w:r>
        <w:t xml:space="preserve">Variante : Fiscalité de droit commun</w:t>
      </w:r>
    </w:p>
    <w:p>
      <w:pPr>
        <w:pStyle w:val="Corps"/>
      </w:pPr>
      <w:r>
        <w:t xml:space="preserve">Le régime fiscal de droit commun, sa date [Date d'effet fiscal] et ses conséquences sont [Analyse du régime fiscal]. Les conséquences en impôt sur les sociétés, déficits, provisions, plus-values et déclarations sont analysées à la date de l'acte sans présenter un sursis ou une neutralité comme acquis.</w:t>
      </w:r>
    </w:p>
    <w:p>
      <w:pPr>
        <w:pStyle w:val="Variante"/>
      </w:pPr>
      <w:r>
        <w:t xml:space="preserve">Variante : Régime spécial d'une branche complète</w:t>
      </w:r>
    </w:p>
    <w:p>
      <w:pPr>
        <w:pStyle w:val="Corps"/>
      </w:pPr>
      <w:r>
        <w:t xml:space="preserve">Le bénéfice du régime spécial repose sur [Preuve de branche complète et autonome] et [Analyse du régime fiscal]; la bénéficiaire souscrit [Engagements fiscaux de la bénéficiaire]. L'autonomie fonctionnelle, les moyens transférés et les engagements sont rapprochés des conditions du régime; toute exclusion susceptible de remettre la qualification en cause est signalée.</w:t>
      </w:r>
    </w:p>
    <w:p>
      <w:pPr>
        <w:pStyle w:val="Variante"/>
      </w:pPr>
      <w:r>
        <w:t xml:space="preserve">Variante : Régime spécial sur agrément</w:t>
      </w:r>
    </w:p>
    <w:p>
      <w:pPr>
        <w:pStyle w:val="Corps"/>
      </w:pPr>
      <w:r>
        <w:t xml:space="preserve">L'agrément et ses conditions sont [Agrément fiscal éventuel]; les engagements sont [Engagements fiscaux de la bénéficiaire]. La demande, l'autorité, les conditions, la décision et sa date sont annexées; aucune réalisation sous régime spécial n'est présentée comme couverte avant obtention et respect de l'agrément.</w:t>
      </w:r>
    </w:p>
    <w:p>
      <w:pPr>
        <w:pStyle w:val="Intertitre"/>
      </w:pPr>
      <w:r>
        <w:t xml:space="preserve">Attributs fiscaux</w:t>
      </w:r>
    </w:p>
    <w:p>
      <w:pPr>
        <w:pStyle w:val="Corps"/>
      </w:pPr>
      <w:r>
        <w:t xml:space="preserve">Le traitement des déficits, provisions et autres attributs est [Traitement des attributs fiscaux] et ne se déduit pas du seul transfert juridique. Chaque attribut est identifié par nature, montant, exercice, titulaire et condition de transfert; les autorisations ou limitations sont distinguées du transfert juridique du passif.</w:t>
      </w:r>
    </w:p>
    <w:p>
      <w:pPr>
        <w:pStyle w:val="Intertitre"/>
      </w:pPr>
      <w:r>
        <w:t xml:space="preserve">Clause optionnelle : Taxe sur la valeur ajoutée</w:t>
      </w:r>
    </w:p>
    <w:p>
      <w:pPr>
        <w:pStyle w:val="Corps"/>
      </w:pPr>
      <w:r>
        <w:t xml:space="preserve">L'application du régime d'universalité partielle et ses obligations de continuité sont [Analyse TVA de l'universalité partielle]. L'analyse vérifie l'ensemble autonome transmis, la qualité du bénéficiaire, la continuité d'exploitation et les obligations de régularisation; aucune dispense n'est déduite du seul intitulé de l'opération.</w:t>
      </w:r>
    </w:p>
    <w:p>
      <w:pPr>
        <w:pStyle w:val="Intertitre"/>
      </w:pPr>
      <w:r>
        <w:t xml:space="preserve">Enregistrement</w:t>
      </w:r>
    </w:p>
    <w:p>
      <w:pPr>
        <w:pStyle w:val="Corps"/>
      </w:pPr>
      <w:r>
        <w:t xml:space="preserve">Le traitement des droits d'enregistrement est [Analyse des droits d'enregistrement]. La base, le tarif, l'acte, le service compétent, le délai et le redevable sont consignés à partir de l'analyse fiscale vérifiée, sans montant légal prérempli.</w:t>
      </w:r>
    </w:p>
    <w:p>
      <w:pPr>
        <w:pStyle w:val="Intertitre"/>
      </w:pPr>
      <w:r>
        <w:t xml:space="preserve">Clause optionnelle : Obligations déclaratives</w:t>
      </w:r>
    </w:p>
    <w:p>
      <w:pPr>
        <w:pStyle w:val="Corps"/>
      </w:pPr>
      <w:r>
        <w:t xml:space="preserve">Les déclarations, états de suivi et registres sont [Déclarations et états fiscaux]. Le calendrier précise formulaire, annexe, signataire, service, date et preuve de dépôt; les obligations de chaque société sont suivies séparément après réalisation.</w:t>
      </w:r>
    </w:p>
    <w:p>
      <w:pPr>
        <w:pStyle w:val="Intertitre"/>
      </w:pPr>
      <w:r>
        <w:t xml:space="preserve">Clause optionnelle : Conditions suspensives</w:t>
      </w:r>
    </w:p>
    <w:p>
      <w:pPr>
        <w:pStyle w:val="Corps"/>
      </w:pPr>
      <w:r>
        <w:t xml:space="preserve">La réalisation est subordonnée à [Conditions suspensives], justifiée par [Preuves de réalisation des conditions] au plus tard le [Date butoir]. Chaque condition identifie bénéficiaire, responsable des diligences, preuve, faculté de renonciation et conséquence de sa défaillance; la date butoir ne peut être prorogée tacitement.</w:t>
      </w:r>
    </w:p>
    <w:p>
      <w:pPr>
        <w:pStyle w:val="Intertitre"/>
      </w:pPr>
      <w:r>
        <w:t xml:space="preserve">Clause optionnelle : Absence de condition conventionnelle</w:t>
      </w:r>
    </w:p>
    <w:p>
      <w:pPr>
        <w:pStyle w:val="Corps"/>
      </w:pPr>
      <w:r>
        <w:t xml:space="preserve">Aucune condition conventionnelle n'est ajoutée; les exigences impératives et formalités demeurent applicables. Les décisions, rapports, oppositions, agréments et formalités légales restent des prérequis même en l'absence de condition suspensive contractuelle.</w:t>
      </w:r>
    </w:p>
    <w:p>
      <w:pPr>
        <w:pStyle w:val="Intertitre"/>
      </w:pPr>
      <w:r>
        <w:t xml:space="preserve">Clause optionnelle : Renonciation</w:t>
      </w:r>
    </w:p>
    <w:p>
      <w:pPr>
        <w:pStyle w:val="Corps"/>
      </w:pPr>
      <w:r>
        <w:t xml:space="preserve">Toute renonciation autorisée suit [Renonciation aux conditions] et ne couvre aucune exigence impérative. Seul le bénéficiaire de la condition peut renoncer par écrit avant la date butoir; la renonciation précise son périmètre et ne purge ni une interdiction ni un droit de tiers.</w:t>
      </w:r>
    </w:p>
    <w:p>
      <w:pPr>
        <w:pStyle w:val="Intertitre"/>
      </w:pPr>
      <w:r>
        <w:t xml:space="preserve">Gestion intercalaire</w:t>
      </w:r>
    </w:p>
    <w:p>
      <w:pPr>
        <w:pStyle w:val="Corps"/>
      </w:pPr>
      <w:r>
        <w:t xml:space="preserve">Jusqu'à la réalisation, les sociétés respectent [Gestion pendant la période intercalaire]. Les opérations courantes permises, actes réservés, seuils, information et mesures urgentes sont détaillés afin de préserver la branche sans transférer prématurément le contrôle.</w:t>
      </w:r>
    </w:p>
    <w:p>
      <w:pPr>
        <w:pStyle w:val="Intertitre"/>
      </w:pPr>
      <w:r>
        <w:t xml:space="preserve">Caducité ou résiliation</w:t>
      </w:r>
    </w:p>
    <w:p>
      <w:pPr>
        <w:pStyle w:val="Corps"/>
      </w:pPr>
      <w:r>
        <w:t xml:space="preserve">À défaut de réalisation, les conséquences sont [Caducité ou résiliation] sans effacer les obligations déjà nées. La clause traite restitution des documents, confidentialité, coûts, garanties, opérations intercalaires et responsabilité pour obstruction, sans effacer les droits nés avant la caducité.</w:t>
      </w:r>
    </w:p>
    <w:p>
      <w:pPr>
        <w:pStyle w:val="Intertitre"/>
      </w:pPr>
      <w:r>
        <w:t xml:space="preserve">Clause optionnelle : Dépôt du projet</w:t>
      </w:r>
    </w:p>
    <w:p>
      <w:pPr>
        <w:pStyle w:val="Corps"/>
      </w:pPr>
      <w:r>
        <w:t xml:space="preserve">Le projet est déposé selon [Dépôts aux greffes]. Pour chaque société, le dossier identifie le responsable du dépôt, le greffe destinataire, la date, le mode de transmission, la référence attribuée et le récépissé conservé. Toute anomalie fait l'objet d'une régularisation distincte indiquant son auteur, sa date et sa pièce justificative; son incidence sur le calendrier de publicité et de réalisation est alors expressément recontrôlée.</w:t>
      </w:r>
    </w:p>
    <w:p>
      <w:pPr>
        <w:pStyle w:val="Intertitre"/>
      </w:pPr>
      <w:r>
        <w:t xml:space="preserve">Clause optionnelle : Publicité du projet</w:t>
      </w:r>
    </w:p>
    <w:p>
      <w:pPr>
        <w:pStyle w:val="Corps"/>
      </w:pPr>
      <w:r>
        <w:t xml:space="preserve">Les publicités sont accomplies selon [Publicités légales]. Le suivi distingue, pour chaque société et chaque support requis, le responsable, la date d'envoi, la date de parution, la référence de l'avis et la preuve archivée. Une publication incomplète ou erronée est régularisée par une insertion identifiée; le nouveau point de départ des délais d'opposition et son effet sur la date de réalisation sont consignés avant toute clôture.</w:t>
      </w:r>
    </w:p>
    <w:p>
      <w:pPr>
        <w:pStyle w:val="Intertitre"/>
      </w:pPr>
      <w:r>
        <w:t xml:space="preserve">Clause optionnelle : Constat de réalisation</w:t>
      </w:r>
    </w:p>
    <w:p>
      <w:pPr>
        <w:pStyle w:val="Corps"/>
      </w:pPr>
      <w:r>
        <w:t xml:space="preserve">La réalisation définitive est constatée par [Constat de réalisation]. Le certificat inventorie conditions satisfaites, décisions, rapports, oppositions, valeurs, titres émis et livrables; toute réserve empêche de constater un accomplissement complet.</w:t>
      </w:r>
    </w:p>
    <w:p>
      <w:pPr>
        <w:pStyle w:val="Intertitre"/>
      </w:pPr>
      <w:r>
        <w:t xml:space="preserve">Formalités postérieures</w:t>
      </w:r>
    </w:p>
    <w:p>
      <w:pPr>
        <w:pStyle w:val="Corps"/>
      </w:pPr>
      <w:r>
        <w:t xml:space="preserve">Les inscriptions, publications et mises à jour sont [Formalités postérieures]. Chaque formalité précise responsable, délai, pièce, registre et preuve; les corrections matérielles n'autorisent aucune modification du périmètre ou de la rémunération approuvés.</w:t>
      </w:r>
    </w:p>
    <w:p>
      <w:pPr>
        <w:pStyle w:val="Intertitre"/>
      </w:pPr>
      <w:r>
        <w:t xml:space="preserve">Frais</w:t>
      </w:r>
    </w:p>
    <w:p>
      <w:pPr>
        <w:pStyle w:val="Corps"/>
      </w:pPr>
      <w:r>
        <w:t xml:space="preserve">Les frais, droits et honoraires sont répartis selon [Répartition des frais]. La répartition distingue frais internes, commissaire, publications, enregistrement, conseil et actes immobiliers; elle ne préjuge pas du traitement fiscal ni des sanctions d'un retard imputable.</w:t>
      </w:r>
    </w:p>
    <w:p>
      <w:pPr>
        <w:pStyle w:val="Intertitre"/>
      </w:pPr>
      <w:r>
        <w:t xml:space="preserve">Clause optionnelle : Annexes</w:t>
      </w:r>
    </w:p>
    <w:p>
      <w:pPr>
        <w:pStyle w:val="Corps"/>
      </w:pPr>
      <w:r>
        <w:t xml:space="preserve">Les inventaires, comptes, rapports, décisions et justificatifs sont recensés dans [Inventaire des annexes]. Chaque annexe est numérotée, datée, figée et rapprochée du bloc qui l'utilise; toute divergence entre inventaire, comptes, décisions et traité bloque la signature finale.</w:t>
      </w:r>
    </w:p>
    <w:p>
      <w:pPr>
        <w:pStyle w:val="Intertitre"/>
      </w:pPr>
      <w:r>
        <w:t xml:space="preserve">Clause optionnelle : Signatures</w:t>
      </w:r>
    </w:p>
    <w:p>
      <w:pPr>
        <w:pStyle w:val="Corps"/>
      </w:pPr>
      <w:r>
        <w:t xml:space="preserve">Fait à [Lieu de signature] le [Date de signature] par [Signataires habilités] habilités. La signature est apposée après vérification de l'identité, de la qualité et des pouvoirs de chaque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