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SORTIE CONJOINTE, SORTIE FORCÉE ET DÉPART D'UN DÉTENTEUR DE TITRES</w:t>
      </w:r>
    </w:p>
    <w:p>
      <w:pPr>
        <w:pStyle w:val="Intertitre"/>
      </w:pPr>
      <w:r>
        <w:t xml:space="preserve">Parties et titres couverts</w:t>
      </w:r>
    </w:p>
    <w:p>
      <w:pPr>
        <w:pStyle w:val="Corps"/>
      </w:pPr>
      <w:r>
        <w:t xml:space="preserve">La convention lie les détenteurs [Associés ou actionnaires concernés] au titre des instruments [Titres concernés] émis par [Dénomination sociale]. La répartition de référence entre les signataires est constatée dans [Calendrier de la propriété].</w:t>
      </w:r>
    </w:p>
    <w:p>
      <w:pPr>
        <w:pStyle w:val="Intertitre"/>
      </w:pPr>
      <w:r>
        <w:t xml:space="preserve">Définition du transfert et du contrôle</w:t>
      </w:r>
    </w:p>
    <w:p>
      <w:pPr>
        <w:pStyle w:val="Corps"/>
      </w:pPr>
      <w:r>
        <w:t xml:space="preserve">Le transfert comprend les opérations directes ou indirectes visées par le pacte : vente, apport, échange, donation, démembrement, sûreté et changement de contrôle. Les transferts à une partie liée ne sont autorisés que dans les limites prévues, avec adhésion du bénéficiaire et retransmission des obligations s'il cesse de remplir les conditions d'exemption.</w:t>
      </w:r>
    </w:p>
    <w:p>
      <w:pPr>
        <w:pStyle w:val="Intertitre"/>
      </w:pPr>
      <w:r>
        <w:t xml:space="preserve">Offre de tiers qualifiée</w:t>
      </w:r>
    </w:p>
    <w:p>
      <w:pPr>
        <w:pStyle w:val="Corps"/>
      </w:pPr>
      <w:r>
        <w:t xml:space="preserve">Une offre ne déclenche les mécanismes de sortie que si elle identifie l'acquéreur, le périmètre, le prix, le financement, les conditions et un calendrier déterminable. Une manifestation d'intérêt, une offre soumise à renégociation ou une opération entre parties liées non révélée ne constitue pas une offre qualifiée.</w:t>
      </w:r>
    </w:p>
    <w:p>
      <w:pPr>
        <w:pStyle w:val="Intertitre"/>
      </w:pPr>
      <w:r>
        <w:t xml:space="preserve">Obligations des détenteurs</w:t>
      </w:r>
    </w:p>
    <w:p>
      <w:pPr>
        <w:pStyle w:val="Corps"/>
      </w:pPr>
      <w:r>
        <w:t xml:space="preserve">Chaque détenteur couvert s'engage à exercer ses droits, signer les actes nécessaires et donner les instructions de transfert permettant l'exécution des clauses qui lui sont applicables.</w:t>
      </w:r>
    </w:p>
    <w:p>
      <w:pPr>
        <w:pStyle w:val="Intertitre"/>
      </w:pPr>
      <w:r>
        <w:t xml:space="preserve">Évolution de la détention</w:t>
      </w:r>
    </w:p>
    <w:p>
      <w:pPr>
        <w:pStyle w:val="Corps"/>
      </w:pPr>
      <w:r>
        <w:t xml:space="preserve">Toute émission, conversion, division, regroupement ou mutation affectant les titres couverts est reportée dans [Calendrier de la propriété] afin de maintenir une répartition vérifiable des droits et obligations.</w:t>
      </w:r>
    </w:p>
    <w:p>
      <w:pPr>
        <w:pStyle w:val="Intertitre"/>
      </w:pPr>
      <w:r>
        <w:t xml:space="preserve">Force obligatoire et bonne foi</w:t>
      </w:r>
    </w:p>
    <w:p>
      <w:pPr>
        <w:pStyle w:val="Corps"/>
      </w:pPr>
      <w:r>
        <w:t xml:space="preserve">Les signataires exécutent la convention de bonne foi et s'interdisent toute opération ayant pour objet de contourner un droit de sortie, une obligation de cession ou une formule de prix convenue.</w:t>
      </w:r>
    </w:p>
    <w:p>
      <w:pPr>
        <w:pStyle w:val="Intertitre"/>
      </w:pPr>
      <w:r>
        <w:t xml:space="preserve">Transfert</w:t>
      </w:r>
    </w:p>
    <w:p>
      <w:pPr>
        <w:pStyle w:val="Corps"/>
      </w:pPr>
      <w:r>
        <w:t xml:space="preserve">Pour la convention, constitue un transfert l'opération définie par [Définition des opérations de transfert]. La qualification s'applique quelle que soit la forme employée lorsque l'opération produit l'effet économique convenu.</w:t>
      </w:r>
    </w:p>
    <w:p>
      <w:pPr>
        <w:pStyle w:val="Intertitre"/>
      </w:pPr>
      <w:r>
        <w:t xml:space="preserve">Transferts autorisés</w:t>
      </w:r>
    </w:p>
    <w:p>
      <w:pPr>
        <w:pStyle w:val="Corps"/>
      </w:pPr>
      <w:r>
        <w:t xml:space="preserve">Les transferts dispensés de certaines restrictions sont exclusivement ceux répondant à [Règles de transfert autorisées]. Le bénéficiaire d'un transfert autorisé adhère aux obligations attachées aux titres reçus.</w:t>
      </w:r>
    </w:p>
    <w:p>
      <w:pPr>
        <w:pStyle w:val="Intertitre"/>
      </w:pPr>
      <w:r>
        <w:t xml:space="preserve">Articulation des mécanismes</w:t>
      </w:r>
    </w:p>
    <w:p>
      <w:pPr>
        <w:pStyle w:val="Corps"/>
      </w:pPr>
      <w:r>
        <w:t xml:space="preserve">Lorsqu'une opération déclenche plusieurs droits, l'ordre de priorité prévu au pacte est appliqué avant toute remise irréversible. Les mécanismes compatibles s'exercent ensemble; les délais incompatibles sont suspendus pendant la détermination de la priorité. Aucun détenteur ne reçoit deux prix ou deux indemnités pour les mêmes titres et aucune suspension ne peut servir à faire expirer artificiellement un droit prioritaire.</w:t>
      </w:r>
    </w:p>
    <w:p>
      <w:pPr>
        <w:pStyle w:val="Intertitre"/>
      </w:pPr>
      <w:r>
        <w:t xml:space="preserve">Constat du départ</w:t>
      </w:r>
    </w:p>
    <w:p>
      <w:pPr>
        <w:pStyle w:val="Corps"/>
      </w:pPr>
      <w:r>
        <w:t xml:space="preserve">Le départ est apprécié au regard de l'événement effectivement survenu, de sa date et des pièces disponibles. Aucune qualification ne peut être déduite d'une simple allégation ou d'un événement non prévu.</w:t>
      </w:r>
    </w:p>
    <w:p>
      <w:pPr>
        <w:pStyle w:val="Intertitre"/>
      </w:pPr>
      <w:r>
        <w:t xml:space="preserve">Régime de départ applicable — choisir une seule variante</w:t>
      </w:r>
    </w:p>
    <w:p>
      <w:pPr>
        <w:pStyle w:val="Variante"/>
      </w:pPr>
      <w:r>
        <w:t xml:space="preserve">Variante : Régime good leaver</w:t>
      </w:r>
    </w:p>
    <w:p>
      <w:pPr>
        <w:pStyle w:val="Corps"/>
      </w:pPr>
      <w:r>
        <w:t xml:space="preserve">Relèvent du régime good leaver les événements [Cas de départ non fautif (good leaver)]. Les titres du détenteur sortant sont acquis selon [Formule de prix en cas de départ non fautif (good leaver)] et la procédure commune de transfert.</w:t>
      </w:r>
    </w:p>
    <w:p>
      <w:pPr>
        <w:pStyle w:val="Variante"/>
      </w:pPr>
      <w:r>
        <w:t xml:space="preserve">Variante : Régime bad leaver</w:t>
      </w:r>
    </w:p>
    <w:p>
      <w:pPr>
        <w:pStyle w:val="Corps"/>
      </w:pPr>
      <w:r>
        <w:t xml:space="preserve">Relèvent du régime bad leaver les événements [Cas de départ fautif (bad leaver)]. Les titres du détenteur sortant sont acquis selon [Formule de prix en cas de départ fautif (bad leaver)], sous réserve du contrôle des règles impératives et de la procédure commune.</w:t>
      </w:r>
    </w:p>
    <w:p>
      <w:pPr>
        <w:pStyle w:val="Variante"/>
      </w:pPr>
      <w:r>
        <w:t xml:space="preserve">Variante : Régime intermediate leaver</w:t>
      </w:r>
    </w:p>
    <w:p>
      <w:pPr>
        <w:pStyle w:val="Corps"/>
      </w:pPr>
      <w:r>
        <w:t xml:space="preserve">Relèvent du régime intermediate leaver [Événements intermediate leaver]. Les titres sont acquis selon [Prix intermediate leaver] après la procédure contradictoire. Ce régime ne peut être requalifié en bad leaver sans faits nouveaux, notification des griefs et décision motivée de l'organe compétent prise hors conflit d'intérêts.</w:t>
      </w:r>
    </w:p>
    <w:p>
      <w:pPr>
        <w:pStyle w:val="Intertitre"/>
      </w:pPr>
      <w:r>
        <w:t xml:space="preserve">Qualification du départ</w:t>
      </w:r>
    </w:p>
    <w:p>
      <w:pPr>
        <w:pStyle w:val="Corps"/>
      </w:pPr>
      <w:r>
        <w:t xml:space="preserve">La qualification, la communication des griefs et pièces, les observations du détenteur et la décision motivée suivent [Procédure de classement]. La partie qui invoque un régime en établit les conditions.</w:t>
      </w:r>
    </w:p>
    <w:p>
      <w:pPr>
        <w:pStyle w:val="Intertitre"/>
      </w:pPr>
      <w:r>
        <w:t xml:space="preserve">Procédure contradictoire de qualification</w:t>
      </w:r>
    </w:p>
    <w:p>
      <w:pPr>
        <w:pStyle w:val="Corps"/>
      </w:pPr>
      <w:r>
        <w:t xml:space="preserve">La qualification suit [Procédure contradictoire]. Le détenteur reçoit les faits et pièces, dispose d'un délai effectif pour répondre et ne participe pas au vote si un conflit l'exige. La décision est motivée, datée et notifiée; elle distingue l'événement de départ de la formule de prix qui en résulte.</w:t>
      </w:r>
    </w:p>
    <w:p>
      <w:pPr>
        <w:pStyle w:val="Intertitre"/>
      </w:pPr>
      <w:r>
        <w:t xml:space="preserve">Notification du départ</w:t>
      </w:r>
    </w:p>
    <w:p>
      <w:pPr>
        <w:pStyle w:val="Corps"/>
      </w:pPr>
      <w:r>
        <w:t xml:space="preserve">Le détenteur ou la partie qui constate le départ déclenche la procédure selon [Procédure de cession en cas de départ]. La notification identifie l'événement, sa date, le régime invoqué, les titres concernés et les pièces produites.</w:t>
      </w:r>
    </w:p>
    <w:p>
      <w:pPr>
        <w:pStyle w:val="Intertitre"/>
      </w:pPr>
      <w:r>
        <w:t xml:space="preserve">Obligation de céder et d'acquérir</w:t>
      </w:r>
    </w:p>
    <w:p>
      <w:pPr>
        <w:pStyle w:val="Corps"/>
      </w:pPr>
      <w:r>
        <w:t xml:space="preserve">Après qualification régulière, le détenteur sortant cède les titres couverts et les bénéficiaires désignés les acquièrent selon le prix et le calendrier applicables, sans rouvrir les éléments déjà déterminés.</w:t>
      </w:r>
    </w:p>
    <w:p>
      <w:pPr>
        <w:pStyle w:val="Intertitre"/>
      </w:pPr>
      <w:r>
        <w:t xml:space="preserve">Clause optionnelle : Sortie conjointe</w:t>
      </w:r>
    </w:p>
    <w:p>
      <w:pPr>
        <w:pStyle w:val="Corps"/>
      </w:pPr>
      <w:r>
        <w:t xml:space="preserve">Lorsque survient [Événement déclenchant la sortie conjointe (tag along)], chaque bénéficiaire peut inclure [Périmètre de la sortie conjointe (tag along)] dans la vente. L'initiateur communique selon [Procédure de notification de la sortie conjointe (tag along)] l'identité de l'acquéreur, le prix, le financement, les conditions et le calendrier. Il ne réalise pas son transfert tant que l'acquéreur n'offre pas le même prix par titre de même catégorie et des conditions équivalentes.</w:t>
      </w:r>
    </w:p>
    <w:p>
      <w:pPr>
        <w:pStyle w:val="Intertitre"/>
      </w:pPr>
      <w:r>
        <w:t xml:space="preserve">Clause optionnelle : Procédure de sortie conjointe</w:t>
      </w:r>
    </w:p>
    <w:p>
      <w:pPr>
        <w:pStyle w:val="Corps"/>
      </w:pPr>
      <w:r>
        <w:t xml:space="preserve">Le bénéficiaire exerce une élection ferme dans le délai notifié et précise la quantité de titres. L'initiateur transmet les actes et coordonne les signatures et paiements. Si l'acquéreur refuse les titres valablement présentés, l'initiateur réduit ou suspend sa propre cession selon le pacte.</w:t>
      </w:r>
    </w:p>
    <w:p>
      <w:pPr>
        <w:pStyle w:val="Intertitre"/>
      </w:pPr>
      <w:r>
        <w:t xml:space="preserve">Clause optionnelle : Sortie forcée</w:t>
      </w:r>
    </w:p>
    <w:p>
      <w:pPr>
        <w:pStyle w:val="Corps"/>
      </w:pPr>
      <w:r>
        <w:t xml:space="preserve">Les détenteurs représentant [Seuil de déclenchement de la sortie forcée (drag along)] peuvent imposer la cession lorsqu'ils acceptent [Offre admissible]. La procédure [Procédure de glisser] respecte [Garanties en faveur des minorités]. Les détenteurs entraînés reçoivent le même prix par titre de même catégorie, ne financent pas les obligations personnelles des majoritaires et ne donnent que des garanties de capacité, propriété et libre disposition dans les limites convenues.</w:t>
      </w:r>
    </w:p>
    <w:p>
      <w:pPr>
        <w:pStyle w:val="Intertitre"/>
      </w:pPr>
      <w:r>
        <w:t xml:space="preserve">Clause optionnelle : Procédure de sortie forcée</w:t>
      </w:r>
    </w:p>
    <w:p>
      <w:pPr>
        <w:pStyle w:val="Corps"/>
      </w:pPr>
      <w:r>
        <w:t xml:space="preserve">La notification de drag joint l'offre, les projets d'actes et la preuve du financement. Chaque détenteur remet les documents strictement nécessaires. Aucune modification défavorable du prix ou des conditions essentielles n'intervient sans nouvelle procédure; l'abandon de l'offre met fin au transfert forcé.</w:t>
      </w:r>
    </w:p>
    <w:p>
      <w:pPr>
        <w:pStyle w:val="Intertitre"/>
      </w:pPr>
      <w:r>
        <w:t xml:space="preserve">Clause optionnelle : Limites des garanties minoritaires</w:t>
      </w:r>
    </w:p>
    <w:p>
      <w:pPr>
        <w:pStyle w:val="Corps"/>
      </w:pPr>
      <w:r>
        <w:t xml:space="preserve">Les détenteurs entraînés ne garantissent que leur capacité, la propriété et la libre disposition de leurs titres. Leur responsabilité est individuelle, proportionnelle au prix reçu et dépourvue de solidarité. Ils ne garantissent ni l'activité ni les comptes, sauf engagement exprès distinct.</w:t>
      </w:r>
    </w:p>
    <w:p>
      <w:pPr>
        <w:pStyle w:val="Intertitre"/>
      </w:pPr>
      <w:r>
        <w:t xml:space="preserve">Coordination d'une opération de sortie</w:t>
      </w:r>
    </w:p>
    <w:p>
      <w:pPr>
        <w:pStyle w:val="Corps"/>
      </w:pPr>
      <w:r>
        <w:t xml:space="preserve">L'initiateur organise une réalisation unique pour les titres apportés volontairement, joints ou entraînés. Il ne peut fractionner une offre afin d'éluder un seuil, un périmètre ou une protection convenue.</w:t>
      </w:r>
    </w:p>
    <w:p>
      <w:pPr>
        <w:pStyle w:val="Intertitre"/>
      </w:pPr>
      <w:r>
        <w:t xml:space="preserve">Notification et délai d'élection</w:t>
      </w:r>
    </w:p>
    <w:p>
      <w:pPr>
        <w:pStyle w:val="Corps"/>
      </w:pPr>
      <w:r>
        <w:t xml:space="preserve">Toute notification est transmise par [Méthode de notification]. Une offre de sortie communiquée au titre de la convention contient [Informations sur l'offre] et laisse aux bénéficiaires le calendrier d'élection [Calendrier des élections].</w:t>
      </w:r>
    </w:p>
    <w:p>
      <w:pPr>
        <w:pStyle w:val="Intertitre"/>
      </w:pPr>
      <w:r>
        <w:t xml:space="preserve">Preuve et réception</w:t>
      </w:r>
    </w:p>
    <w:p>
      <w:pPr>
        <w:pStyle w:val="Corps"/>
      </w:pPr>
      <w:r>
        <w:t xml:space="preserve">L'auteur conserve la preuve du contenu, de l'envoi et de la réception de chaque notification. Le délai d'exercice court uniquement à compter d'une notification complète selon la convention.</w:t>
      </w:r>
    </w:p>
    <w:p>
      <w:pPr>
        <w:pStyle w:val="Intertitre"/>
      </w:pPr>
      <w:r>
        <w:t xml:space="preserve">Caractère de l'élection</w:t>
      </w:r>
    </w:p>
    <w:p>
      <w:pPr>
        <w:pStyle w:val="Corps"/>
      </w:pPr>
      <w:r>
        <w:t xml:space="preserve">L'élection exercée dans le délai est irrévocable pour l'opération notifiée. L'absence d'élection n'emporte renonciation que pour cette opération et ne modifie pas les droits attachés à une offre ultérieure.</w:t>
      </w:r>
    </w:p>
    <w:p>
      <w:pPr>
        <w:pStyle w:val="Intertitre"/>
      </w:pPr>
      <w:r>
        <w:t xml:space="preserve">Prix applicable</w:t>
      </w:r>
    </w:p>
    <w:p>
      <w:pPr>
        <w:pStyle w:val="Corps"/>
      </w:pPr>
      <w:r>
        <w:t xml:space="preserve">Le prix commun est déterminé par [Formule de prix]. Le régime leaver applique sa formule spéciale lorsqu'il est valablement déclenché; le tag ou le drag reprend le prix offert pour la même catégorie. Toute décote est calculée sur une valeur de référence définie, sans cumul de sanctions ni modification unilatérale après notification.</w:t>
      </w:r>
    </w:p>
    <w:p>
      <w:pPr>
        <w:pStyle w:val="Intertitre"/>
      </w:pPr>
      <w:r>
        <w:t xml:space="preserve">Détermination de la valeur</w:t>
      </w:r>
    </w:p>
    <w:p>
      <w:pPr>
        <w:pStyle w:val="Corps"/>
      </w:pPr>
      <w:r>
        <w:t xml:space="preserve">Toute évaluation suit [Principes d'évaluation] et le processus [Procédure d'expertise en matière d'évaluation]. Si une disposition impérative impose une expertise de valeur, cette disposition prévaut ; à défaut, le processus reste celui contractuellement convenu.</w:t>
      </w:r>
    </w:p>
    <w:p>
      <w:pPr>
        <w:pStyle w:val="Intertitre"/>
      </w:pPr>
      <w:r>
        <w:t xml:space="preserve">Date de référence et erreur manifeste</w:t>
      </w:r>
    </w:p>
    <w:p>
      <w:pPr>
        <w:pStyle w:val="Corps"/>
      </w:pPr>
      <w:r>
        <w:t xml:space="preserve">La valeur est arrêtée à la date de référence prévue par la formule et selon des méthodes constantes. L'expert contractuellement désigné statue dans les limites de la formule et des postes contestés, sur pièces contradictoires. Une erreur matérielle est corrigée sans réécrire la catégorie leaver ni la décote contractuelle.</w:t>
      </w:r>
    </w:p>
    <w:p>
      <w:pPr>
        <w:pStyle w:val="Intertitre"/>
      </w:pPr>
      <w:r>
        <w:t xml:space="preserve">Paiement du prix</w:t>
      </w:r>
    </w:p>
    <w:p>
      <w:pPr>
        <w:pStyle w:val="Corps"/>
      </w:pPr>
      <w:r>
        <w:t xml:space="preserve">Le prix est payé à la réalisation selon les modalités de l'offre ou du régime de départ applicable. Aucune retenue, compensation ou différé ne peut être ajouté sans fondement prévu par la convention.</w:t>
      </w:r>
    </w:p>
    <w:p>
      <w:pPr>
        <w:pStyle w:val="Intertitre"/>
      </w:pPr>
      <w:r>
        <w:t xml:space="preserve">Sécurisation du paiement</w:t>
      </w:r>
    </w:p>
    <w:p>
      <w:pPr>
        <w:pStyle w:val="Corps"/>
      </w:pPr>
      <w:r>
        <w:t xml:space="preserve">Avant la remise des titres, l'acquéreur fournit [Garantie de paiement]. La garantie couvre le prix exigible, demeure valable au-delà de la réalisation et ne dépend pas de la seule volonté du débiteur. Une preuve de fonds non engageante ne remplace pas la sûreté convenue.</w:t>
      </w:r>
    </w:p>
    <w:p>
      <w:pPr>
        <w:pStyle w:val="Intertitre"/>
      </w:pPr>
      <w:r>
        <w:t xml:space="preserve">Clause optionnelle : Séquestre des titres ou du prix</w:t>
      </w:r>
    </w:p>
    <w:p>
      <w:pPr>
        <w:pStyle w:val="Corps"/>
      </w:pPr>
      <w:r>
        <w:t xml:space="preserve">Les titres ou le prix sont déposés selon [Séquestre de sortie]. Le séquestre distingue libération, restitution et maintien de la seule fraction contestée. Aucune instruction unilatérale ne modifie les conditions de libération; frais, intérêts et preuve du dépôt sont traités expressément.</w:t>
      </w:r>
    </w:p>
    <w:p>
      <w:pPr>
        <w:pStyle w:val="Intertitre"/>
      </w:pPr>
      <w:r>
        <w:t xml:space="preserve">Garanties données à l'acquéreur</w:t>
      </w:r>
    </w:p>
    <w:p>
      <w:pPr>
        <w:pStyle w:val="Corps"/>
      </w:pPr>
      <w:r>
        <w:t xml:space="preserve">Les garanties exigées des cédants sont réparties selon [Attribution de la garantie du vendeur]. Chaque cédant ne supporte une obligation solidaire ou excédant ses déclarations fondamentales que si elle est expressément acceptée.</w:t>
      </w:r>
    </w:p>
    <w:p>
      <w:pPr>
        <w:pStyle w:val="Intertitre"/>
      </w:pPr>
      <w:r>
        <w:t xml:space="preserve">Répartition de responsabilité</w:t>
      </w:r>
    </w:p>
    <w:p>
      <w:pPr>
        <w:pStyle w:val="Corps"/>
      </w:pPr>
      <w:r>
        <w:t xml:space="preserve">La responsabilité entre cédants suit [Plusieurs conditions de responsabilité]. Un détenteur joint ou entraîné ne répond pas des déclarations propres à un autre cédant au-delà de la répartition expressément convenue.</w:t>
      </w:r>
    </w:p>
    <w:p>
      <w:pPr>
        <w:pStyle w:val="Intertitre"/>
      </w:pPr>
      <w:r>
        <w:t xml:space="preserve">Réalisation</w:t>
      </w:r>
    </w:p>
    <w:p>
      <w:pPr>
        <w:pStyle w:val="Corps"/>
      </w:pPr>
      <w:r>
        <w:t xml:space="preserve">La cession est réalisée le [Date d'achèvement] par l'exécution coordonnée de [Étapes d'achèvement]. Les paiements, actes, instructions et inscriptions sont remis simultanément ou selon un séquestre convenu.</w:t>
      </w:r>
    </w:p>
    <w:p>
      <w:pPr>
        <w:pStyle w:val="Intertitre"/>
      </w:pPr>
      <w:r>
        <w:t xml:space="preserve">Défaut de réalisation</w:t>
      </w:r>
    </w:p>
    <w:p>
      <w:pPr>
        <w:pStyle w:val="Corps"/>
      </w:pPr>
      <w:r>
        <w:t xml:space="preserve">La partie prête à exécuter conserve la preuve de ses remises et met la partie défaillante en mesure d'exécuter. Aucun transfert incomplet n'est présenté comme définitivement réalisé.</w:t>
      </w:r>
    </w:p>
    <w:p>
      <w:pPr>
        <w:pStyle w:val="Intertitre"/>
      </w:pPr>
      <w:r>
        <w:t xml:space="preserve">Transfert malgré défaut de coopération</w:t>
      </w:r>
    </w:p>
    <w:p>
      <w:pPr>
        <w:pStyle w:val="Corps"/>
      </w:pPr>
      <w:r>
        <w:t xml:space="preserve">Après déclenchement régulier et mise à disposition irrévocable du prix, le refus de signer n'empêche pas l'exécution dans les limites légales. Tout mandat est limité aux actes matériels nécessaires, impose reddition de compte et n'autorise aucune modification du prix, des garanties ou de la quantité.</w:t>
      </w:r>
    </w:p>
    <w:p>
      <w:pPr>
        <w:pStyle w:val="Intertitre"/>
      </w:pPr>
      <w:r>
        <w:t xml:space="preserve">Conséquences du défaut</w:t>
      </w:r>
    </w:p>
    <w:p>
      <w:pPr>
        <w:pStyle w:val="Corps"/>
      </w:pPr>
      <w:r>
        <w:t xml:space="preserve">Le manquement ouvre les remèdes [Voies de recours par défaut] mis en œuvre selon [Mécanisme de mise en œuvre]. Les mesures choisies respectent les conditions de mise en demeure et les limites impératives.</w:t>
      </w:r>
    </w:p>
    <w:p>
      <w:pPr>
        <w:pStyle w:val="Intertitre"/>
      </w:pPr>
      <w:r>
        <w:t xml:space="preserve">Suspension des mécanismes incompatibles</w:t>
      </w:r>
    </w:p>
    <w:p>
      <w:pPr>
        <w:pStyle w:val="Corps"/>
      </w:pPr>
      <w:r>
        <w:t xml:space="preserve">Lorsqu'un tag, drag, droit de préemption ou leaver revendique les mêmes titres, les délais incompatibles sont suspendus pendant la détermination de la priorité. Les actes compatibles continuent et l'offre est préservée. La suspension cesse dès la décision prévue au pacte.</w:t>
      </w:r>
    </w:p>
    <w:p>
      <w:pPr>
        <w:pStyle w:val="Intertitre"/>
      </w:pPr>
      <w:r>
        <w:t xml:space="preserve">Absence de double sanction</w:t>
      </w:r>
    </w:p>
    <w:p>
      <w:pPr>
        <w:pStyle w:val="Corps"/>
      </w:pPr>
      <w:r>
        <w:t xml:space="preserve">Une même inexécution ne cumule pas décote, pénalité et dommages réparant le même préjudice. Exécution forcée, suspension, résolution et indemnisation sont coordonnées. Les dommages supposent un préjudice démontré; le prix reste celui du mécanisme valablement applicable.</w:t>
      </w:r>
    </w:p>
    <w:p>
      <w:pPr>
        <w:pStyle w:val="Intertitre"/>
      </w:pPr>
      <w:r>
        <w:t xml:space="preserve">Exécution en nature</w:t>
      </w:r>
    </w:p>
    <w:p>
      <w:pPr>
        <w:pStyle w:val="Corps"/>
      </w:pPr>
      <w:r>
        <w:t xml:space="preserve">Après mise en demeure, la partie créancière peut poursuivre la signature, la remise des instructions ou l'exécution de la cession lorsque cette exécution demeure juridiquement et matériellement possible.</w:t>
      </w:r>
    </w:p>
    <w:p>
      <w:pPr>
        <w:pStyle w:val="Intertitre"/>
      </w:pPr>
      <w:r>
        <w:t xml:space="preserve">Absence de renonciation implicite</w:t>
      </w:r>
    </w:p>
    <w:p>
      <w:pPr>
        <w:pStyle w:val="Corps"/>
      </w:pPr>
      <w:r>
        <w:t xml:space="preserve">Le retard ou l'absence d'exercice d'un droit ne vaut pas renonciation. Toute renonciation est expresse, limitée à l'opération identifiée et sans effet sur les autres stipulations.</w:t>
      </w:r>
    </w:p>
    <w:p>
      <w:pPr>
        <w:pStyle w:val="Intertitre"/>
      </w:pPr>
      <w:r>
        <w:t xml:space="preserve">Durée</w:t>
      </w:r>
    </w:p>
    <w:p>
      <w:pPr>
        <w:pStyle w:val="Corps"/>
      </w:pPr>
      <w:r>
        <w:t xml:space="preserve">La convention produit effet pendant [Terme de la clause]. Les obligations nées avant son terme, notamment de prix, garantie, responsabilité ou réalisation, survivent dans la mesure nécessaire à leur exécution.</w:t>
      </w:r>
    </w:p>
    <w:p>
      <w:pPr>
        <w:pStyle w:val="Intertitre"/>
      </w:pPr>
      <w:r>
        <w:t xml:space="preserve">Modification et adhésion</w:t>
      </w:r>
    </w:p>
    <w:p>
      <w:pPr>
        <w:pStyle w:val="Corps"/>
      </w:pPr>
      <w:r>
        <w:t xml:space="preserve">Toute modification requiert l'accord prévu par la convention et identifie les clauses affectées. Tout nouveau détenteur de titres couverts adhère avant l'inscription de son transfert lorsqu'une telle adhésion est exigée.</w:t>
      </w:r>
    </w:p>
    <w:p>
      <w:pPr>
        <w:pStyle w:val="Intertitre"/>
      </w:pPr>
      <w:r>
        <w:t xml:space="preserve">Signatures</w:t>
      </w:r>
    </w:p>
    <w:p>
      <w:pPr>
        <w:pStyle w:val="Corps"/>
      </w:pPr>
      <w:r>
        <w:t xml:space="preserve">Fait à [Lieu de signature], le [Date de signature]. La convention est signée par [Noms des signataires], chaque signataire reconnaissant son engagement et la réception d'un exemplaire signé.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