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CONVOCATION À UNE ASSEMBLÉE GÉNÉRALE ORDINAIRE PAR LE GÉRANT OU LE PRÉSIDENT</w:t>
      </w:r>
    </w:p>
    <w:p>
      <w:pPr>
        <w:pStyle w:val="Intertitre"/>
      </w:pPr>
      <w:r>
        <w:t xml:space="preserve">Société concernée</w:t>
      </w:r>
    </w:p>
    <w:p>
      <w:pPr>
        <w:pStyle w:val="Corps"/>
      </w:pPr>
      <w:r>
        <w:t xml:space="preserve">[Dénomination sociale], au capital de [Capital social], dont le siège social est situé [Siège social], identifiée sous [Immatriculation de la société]. La forme sociale est déterminée par la branche SARL ou SAS retenue.</w:t>
      </w:r>
    </w:p>
    <w:p>
      <w:pPr>
        <w:pStyle w:val="Intertitre"/>
      </w:pPr>
      <w:r>
        <w:t xml:space="preserve">Destinataire</w:t>
      </w:r>
    </w:p>
    <w:p>
      <w:pPr>
        <w:pStyle w:val="Corps"/>
      </w:pPr>
      <w:r>
        <w:t xml:space="preserve">La convocation est adressée à [Identité du destinataire], demeurant ou établi [Adresse postale du destinataire], en la qualité et avec les droits résultant des titres et registres sociaux à la date de référence.</w:t>
      </w:r>
    </w:p>
    <w:p>
      <w:pPr>
        <w:pStyle w:val="Intertitre"/>
      </w:pPr>
      <w:r>
        <w:t xml:space="preserve">Clause optionnelle : Qualité du destinataire en SARL</w:t>
      </w:r>
    </w:p>
    <w:p>
      <w:pPr>
        <w:pStyle w:val="Corps"/>
      </w:pPr>
      <w:r>
        <w:t xml:space="preserve">La convocation est adressée à [Identité du destinataire] en qualité d’associé de la SARL. Ses droits sociaux et son adresse de notification sont rapprochés des registres à jour.</w:t>
      </w:r>
    </w:p>
    <w:p>
      <w:pPr>
        <w:pStyle w:val="Intertitre"/>
      </w:pPr>
      <w:r>
        <w:t xml:space="preserve">Clause optionnelle : Qualité du destinataire en SAS</w:t>
      </w:r>
    </w:p>
    <w:p>
      <w:pPr>
        <w:pStyle w:val="Corps"/>
      </w:pPr>
      <w:r>
        <w:t xml:space="preserve">La convocation est adressée à [Identité du destinataire] en qualité d’actionnaire de la SAS. Ses droits et son adresse de notification sont rapprochés des registres à jour.</w:t>
      </w:r>
    </w:p>
    <w:p>
      <w:pPr>
        <w:pStyle w:val="Intertitre"/>
      </w:pPr>
      <w:r>
        <w:t xml:space="preserve">Auteur de la convocation</w:t>
      </w:r>
    </w:p>
    <w:p>
      <w:pPr>
        <w:pStyle w:val="Corps"/>
      </w:pPr>
      <w:r>
        <w:t xml:space="preserve">La compétence de l’auteur de la convocation résulte de la branche SARL ou SAS et des statuts à jour ; aucune qualité distincte n’est saisie hors de cette branche.</w:t>
      </w:r>
    </w:p>
    <w:p>
      <w:pPr>
        <w:pStyle w:val="Intertitre"/>
      </w:pPr>
      <w:r>
        <w:t xml:space="preserve">Forme sociale — choisir une seule variante</w:t>
      </w:r>
    </w:p>
    <w:p>
      <w:pPr>
        <w:pStyle w:val="Variante"/>
      </w:pPr>
      <w:r>
        <w:t xml:space="preserve">Variante : Convocation par le Gérant</w:t>
      </w:r>
    </w:p>
    <w:p>
      <w:pPr>
        <w:pStyle w:val="Corps"/>
      </w:pPr>
      <w:r>
        <w:t xml:space="preserve">Le Gérant [Identité de l'auteur de la convocation] convoque les associés à l’assemblée générale ordinaire dans l’exercice du pouvoir attaché à ses fonctions.</w:t>
      </w:r>
    </w:p>
    <w:p>
      <w:pPr>
        <w:pStyle w:val="Variante"/>
      </w:pPr>
      <w:r>
        <w:t xml:space="preserve">Variante : Convocation par le Président</w:t>
      </w:r>
    </w:p>
    <w:p>
      <w:pPr>
        <w:pStyle w:val="Corps"/>
      </w:pPr>
      <w:r>
        <w:t xml:space="preserve">Le Président [Identité de l'auteur de la convocation], habilité par [Clause statutaire de convocation de la SAS], convoque les actionnaires à l’assemblée générale ordinaire.</w:t>
      </w:r>
    </w:p>
    <w:p>
      <w:pPr>
        <w:pStyle w:val="Intertitre"/>
      </w:pPr>
      <w:r>
        <w:t xml:space="preserve">Date et heure</w:t>
      </w:r>
    </w:p>
    <w:p>
      <w:pPr>
        <w:pStyle w:val="Corps"/>
      </w:pPr>
      <w:r>
        <w:t xml:space="preserve">L'assemblée se tiendra le [Date de l'assemblée] à [Heure de l'assemblée]. Le destinataire est invité à vérifier sans délai sa disponibilité et les modalités de participation indiquées ci-après.</w:t>
      </w:r>
    </w:p>
    <w:p>
      <w:pPr>
        <w:pStyle w:val="Corps"/>
      </w:pPr>
      <w:r>
        <w:t xml:space="preserve">La date, l'heure, le lieu et les moyens de participation sont formulés sans ambiguïté. Les modalités d'accès à distance, d'émargement ou de représentation sont communiquées avec un délai suffisant et correspondent aux statuts ainsi qu'aux décisions de l'organe compétent.</w:t>
      </w:r>
    </w:p>
    <w:p>
      <w:pPr>
        <w:pStyle w:val="Corps"/>
      </w:pPr>
      <w:r>
        <w:t xml:space="preserve">Les identifiants de connexion, consignes d'émargement et coordonnées d'assistance sont communiqués sur le même support que la convocation.</w:t>
      </w:r>
    </w:p>
    <w:p>
      <w:pPr>
        <w:pStyle w:val="Intertitre"/>
      </w:pPr>
      <w:r>
        <w:t xml:space="preserve">Chronologie de convocation</w:t>
      </w:r>
    </w:p>
    <w:p>
      <w:pPr>
        <w:pStyle w:val="Corps"/>
      </w:pPr>
      <w:r>
        <w:t xml:space="preserve">La convocation est expédiée le [Date d'envoi de la convocation] pour une réunion fixée au [Date de l'assemblée]. Le contrôle documenté du délai applicable est [Contrôle du délai de convocation].</w:t>
      </w:r>
    </w:p>
    <w:p>
      <w:pPr>
        <w:pStyle w:val="Corps"/>
      </w:pPr>
      <w:r>
        <w:t xml:space="preserve">Le dossier de convocation retrace la date d'arrêté de l'ordre du jour, la date d'expédition à chaque destinataire et la date prévue de l'assemblée. Le calcul du délai tient compte du mode d'envoi et des règles propres à la forme sociale et aux statuts. Toute seconde convocation ou régularisation est identifiée séparément.</w:t>
      </w:r>
    </w:p>
    <w:p>
      <w:pPr>
        <w:pStyle w:val="Intertitre"/>
      </w:pPr>
      <w:r>
        <w:t xml:space="preserve">Clause optionnelle : Délai de convocation SARL non validé</w:t>
      </w:r>
    </w:p>
    <w:p>
      <w:pPr>
        <w:pStyle w:val="Corps"/>
      </w:pPr>
      <w:r>
        <w:t xml:space="preserve">Le calcul et le respect du délai applicable à cette convocation de SARL ne sont pas confirmés. La convocation ne peut pas être émise tant que la date d’envoi, la date de réunion et la règle applicable n’ont pas été rapprochées.</w:t>
      </w:r>
    </w:p>
    <w:p>
      <w:pPr>
        <w:pStyle w:val="Intertitre"/>
      </w:pPr>
      <w:r>
        <w:t xml:space="preserve">Format de réunion — choisir une seule variante</w:t>
      </w:r>
    </w:p>
    <w:p>
      <w:pPr>
        <w:pStyle w:val="Variante"/>
      </w:pPr>
      <w:r>
        <w:t xml:space="preserve">Variante : Réunion physique</w:t>
      </w:r>
    </w:p>
    <w:p>
      <w:pPr>
        <w:pStyle w:val="Corps"/>
      </w:pPr>
      <w:r>
        <w:t xml:space="preserve">L'assemblée se tiendra [Lieu de l'assemblée] ; les modalités d'accès sont [Modalités d'accès à l'assemblée]. La présence sera constatée selon les documents de séance.</w:t>
      </w:r>
    </w:p>
    <w:p>
      <w:pPr>
        <w:pStyle w:val="Variante"/>
      </w:pPr>
      <w:r>
        <w:t xml:space="preserve">Variante : Réunion hybride</w:t>
      </w:r>
    </w:p>
    <w:p>
      <w:pPr>
        <w:pStyle w:val="Corps"/>
      </w:pPr>
      <w:r>
        <w:t xml:space="preserve">L'assemblée se tiendra [Lieu de l'assemblée] et pourra également être suivie selon les modalités de connexion [Coordonnées de connexion à distance]. Chaque participant doit utiliser le canal correspondant à sa situation.</w:t>
      </w:r>
    </w:p>
    <w:p>
      <w:pPr>
        <w:pStyle w:val="Variante"/>
      </w:pPr>
      <w:r>
        <w:t xml:space="preserve">Variante : Réunion à distance</w:t>
      </w:r>
    </w:p>
    <w:p>
      <w:pPr>
        <w:pStyle w:val="Corps"/>
      </w:pPr>
      <w:r>
        <w:t xml:space="preserve">L'assemblée se tiendra exclusivement à distance sur le fondement statutaire [Fondement statutaire de la participation à distance] ; les modalités de connexion et d'identification sont [Coordonnées de connexion à distance].</w:t>
      </w:r>
    </w:p>
    <w:p>
      <w:pPr>
        <w:pStyle w:val="Intertitre"/>
      </w:pPr>
      <w:r>
        <w:t xml:space="preserve">Rang de réunion — choisir une seule variante</w:t>
      </w:r>
    </w:p>
    <w:p>
      <w:pPr>
        <w:pStyle w:val="Variante"/>
      </w:pPr>
      <w:r>
        <w:t xml:space="preserve">Variante : Première réunion</w:t>
      </w:r>
    </w:p>
    <w:p>
      <w:pPr>
        <w:pStyle w:val="Corps"/>
      </w:pPr>
      <w:r>
        <w:t xml:space="preserve">La présente convocation porte sur la première réunion de l'assemblée appelée à statuer sur l'ordre du jour ci-dessous et sur les projets de résolutions communiqués.</w:t>
      </w:r>
    </w:p>
    <w:p>
      <w:pPr>
        <w:pStyle w:val="Variante"/>
      </w:pPr>
      <w:r>
        <w:t xml:space="preserve">Variante : Seconde réunion</w:t>
      </w:r>
    </w:p>
    <w:p>
      <w:pPr>
        <w:pStyle w:val="Corps"/>
      </w:pPr>
      <w:r>
        <w:t xml:space="preserve">La présente convocation fait suite à la réunion du [Date de la première assemblée], dont le résultat a été [Résultat de la première consultation]. Les éléments utiles à cette seconde réunion sont communiqués avec la convocation.</w:t>
      </w:r>
    </w:p>
    <w:p>
      <w:pPr>
        <w:pStyle w:val="Intertitre"/>
      </w:pPr>
      <w:r>
        <w:t xml:space="preserve">Objet — choisir une seule variante</w:t>
      </w:r>
    </w:p>
    <w:p>
      <w:pPr>
        <w:pStyle w:val="Variante"/>
      </w:pPr>
      <w:r>
        <w:t xml:space="preserve">Variante : Approbation annuelle des comptes</w:t>
      </w:r>
    </w:p>
    <w:p>
      <w:pPr>
        <w:pStyle w:val="Corps"/>
      </w:pPr>
      <w:r>
        <w:t xml:space="preserve">L'assemblée est appelée à examiner les comptes de l'exercice ouvert le [Date d'ouverture de l'exercice] et clos le [Date de clôture de l'exercice], à statuer sur leur approbation et sur l'affectation du résultat.</w:t>
      </w:r>
    </w:p>
    <w:p>
      <w:pPr>
        <w:pStyle w:val="Variante"/>
      </w:pPr>
      <w:r>
        <w:t xml:space="preserve">Variante : Autre décision ordinaire</w:t>
      </w:r>
    </w:p>
    <w:p>
      <w:pPr>
        <w:pStyle w:val="Corps"/>
      </w:pPr>
      <w:r>
        <w:t xml:space="preserve">L'assemblée est appelée à statuer sur [Objet de la décision ordinaire]. L'objet soumis au vote relève de la compétence ordinaire de la collectivité selon la loi et les statuts vérifiés.</w:t>
      </w:r>
    </w:p>
    <w:p>
      <w:pPr>
        <w:pStyle w:val="Intertitre"/>
      </w:pPr>
      <w:r>
        <w:t xml:space="preserve">Objet de la convocation</w:t>
      </w:r>
    </w:p>
    <w:p>
      <w:pPr>
        <w:pStyle w:val="Corps"/>
      </w:pPr>
      <w:r>
        <w:t xml:space="preserve">L'objet synthétique de la réunion communiqué au destinataire est le suivant : [Meeting purpose summary]. Les résolutions soumises doivent demeurer dans ce périmètre.</w:t>
      </w:r>
    </w:p>
    <w:p>
      <w:pPr>
        <w:pStyle w:val="Corps"/>
      </w:pPr>
      <w:r>
        <w:t xml:space="preserve">L'objet permet au destinataire de comprendre les décisions soumises au vote et leur portée pour la société. Les projets de résolutions et documents utiles sont joints ou mis à disposition selon les modalités annoncées; une question non inscrite ne peut être présentée comme une résolution déjà soumise à décision.</w:t>
      </w:r>
    </w:p>
    <w:p>
      <w:pPr>
        <w:pStyle w:val="Intertitre"/>
      </w:pPr>
      <w:r>
        <w:t xml:space="preserve">Ordre du jour — choisir une seule variante</w:t>
      </w:r>
    </w:p>
    <w:p>
      <w:pPr>
        <w:pStyle w:val="Variante"/>
      </w:pPr>
      <w:r>
        <w:t xml:space="preserve">Variante : ORDRE DU JOUR</w:t>
      </w:r>
    </w:p>
    <w:p>
      <w:pPr>
        <w:pStyle w:val="Corps"/>
      </w:pPr>
      <w:r>
        <w:t xml:space="preserve">Pour l'approbation annuelle des comptes, l'ordre du jour est le suivant : [Ordre du jour annuel détaillé]. Les projets de résolutions sont identifiés sous la référence [Référence des projets de résolutions].</w:t>
      </w:r>
    </w:p>
    <w:p>
      <w:pPr>
        <w:pStyle w:val="Variante"/>
      </w:pPr>
      <w:r>
        <w:t xml:space="preserve">Variante : ORDRE DU JOUR</w:t>
      </w:r>
    </w:p>
    <w:p>
      <w:pPr>
        <w:pStyle w:val="Corps"/>
      </w:pPr>
      <w:r>
        <w:t xml:space="preserve">Pour la décision ordinaire envisagée, l'ordre du jour est le suivant : [Ordre du jour ordinaire détaillé]. Les projets de résolutions sont identifiés sous la référence [Référence des projets de résolutions].</w:t>
      </w:r>
    </w:p>
    <w:p>
      <w:pPr>
        <w:pStyle w:val="Intertitre"/>
      </w:pPr>
      <w:r>
        <w:t xml:space="preserve">Clause optionnelle : Envoi recommandé en SARL</w:t>
      </w:r>
    </w:p>
    <w:p>
      <w:pPr>
        <w:pStyle w:val="Corps"/>
      </w:pPr>
      <w:r>
        <w:t xml:space="preserve">La convocation a été adressée par lettre recommandée le [Date d'envoi de la convocation] sous la preuve [Preuve de l'envoi recommandé], conservée avec le dossier de convocation.</w:t>
      </w:r>
    </w:p>
    <w:p>
      <w:pPr>
        <w:pStyle w:val="Intertitre"/>
      </w:pPr>
      <w:r>
        <w:t xml:space="preserve">Clause optionnelle : Envoi électronique en SARL</w:t>
      </w:r>
    </w:p>
    <w:p>
      <w:pPr>
        <w:pStyle w:val="Corps"/>
      </w:pPr>
      <w:r>
        <w:t xml:space="preserve">La convocation a été adressée à [Adresse électronique consentie du destinataire] selon le consentement [Justificatif du consentement à l'envoi électronique] et la preuve [Preuve de la transmission électronique], conservés avec le dossier de convocation.</w:t>
      </w:r>
    </w:p>
    <w:p>
      <w:pPr>
        <w:pStyle w:val="Intertitre"/>
      </w:pPr>
      <w:r>
        <w:t xml:space="preserve">Clause optionnelle : Envoi selon les statuts de la SAS</w:t>
      </w:r>
    </w:p>
    <w:p>
      <w:pPr>
        <w:pStyle w:val="Corps"/>
      </w:pPr>
      <w:r>
        <w:t xml:space="preserve">La convocation est transmise selon la procédure statutaire [Procédure statutaire d'envoi de la SAS] et la preuve d'envoi [Référence du registre des envois], conservée avec le dossier de convocation.</w:t>
      </w:r>
    </w:p>
    <w:p>
      <w:pPr>
        <w:pStyle w:val="Intertitre"/>
      </w:pPr>
      <w:r>
        <w:t xml:space="preserve">Clause optionnelle : Documents relatifs aux comptes</w:t>
      </w:r>
    </w:p>
    <w:p>
      <w:pPr>
        <w:pStyle w:val="Corps"/>
      </w:pPr>
      <w:r>
        <w:t xml:space="preserve">Les comptes annuels et documents légalement ou statutairement requis sont consultables ou transmis selon les modalités [Modalités d'accès aux documents]. Le destinataire peut en prendre connaissance avant la réunion.</w:t>
      </w:r>
    </w:p>
    <w:p>
      <w:pPr>
        <w:pStyle w:val="Intertitre"/>
      </w:pPr>
      <w:r>
        <w:t xml:space="preserve">Inventaire des documents préparatoires</w:t>
      </w:r>
    </w:p>
    <w:p>
      <w:pPr>
        <w:pStyle w:val="Corps"/>
      </w:pPr>
      <w:r>
        <w:t xml:space="preserve">Les documents préparatoires communiqués ou mis à disposition sont récapitulés comme suit : [Documents inventory]. Cet inventaire permet d'identifier la version de chaque pièce soumise à l'assemblée.</w:t>
      </w:r>
    </w:p>
    <w:p>
      <w:pPr>
        <w:pStyle w:val="Intertitre"/>
      </w:pPr>
      <w:r>
        <w:t xml:space="preserve">Clause optionnelle : Rapport de gestion</w:t>
      </w:r>
    </w:p>
    <w:p>
      <w:pPr>
        <w:pStyle w:val="Corps"/>
      </w:pPr>
      <w:r>
        <w:t xml:space="preserve">Le rapport de gestion soumis à l'assemblée est identifié sous la référence [Référence du rapport de gestion] et est communiqué ou mis à disposition selon les mêmes modalités que les comptes.</w:t>
      </w:r>
    </w:p>
    <w:p>
      <w:pPr>
        <w:pStyle w:val="Intertitre"/>
      </w:pPr>
      <w:r>
        <w:t xml:space="preserve">Clause optionnelle : Commissaire aux comptes</w:t>
      </w:r>
    </w:p>
    <w:p>
      <w:pPr>
        <w:pStyle w:val="Corps"/>
      </w:pPr>
      <w:r>
        <w:t xml:space="preserve">Le commissaire aux comptes [Identité du commissaire aux comptes] a été convoqué selon la preuve [Preuve de convocation du commissaire aux comptes] ; ses rapports sont référencés [Référence des rapports du commissaire aux comptes].</w:t>
      </w:r>
    </w:p>
    <w:p>
      <w:pPr>
        <w:pStyle w:val="Intertitre"/>
      </w:pPr>
      <w:r>
        <w:t xml:space="preserve">Clause optionnelle : Conventions réglementées</w:t>
      </w:r>
    </w:p>
    <w:p>
      <w:pPr>
        <w:pStyle w:val="Corps"/>
      </w:pPr>
      <w:r>
        <w:t xml:space="preserve">Le rapport sur les conventions réglementées soumis à l'assemblée est référencé [Référence du rapport sur les conventions réglementées] et doit être rapproché du régime propre à la forme sociale.</w:t>
      </w:r>
    </w:p>
    <w:p>
      <w:pPr>
        <w:pStyle w:val="Intertitre"/>
      </w:pPr>
      <w:r>
        <w:t xml:space="preserve">Clause optionnelle : Comptes consolidés</w:t>
      </w:r>
    </w:p>
    <w:p>
      <w:pPr>
        <w:pStyle w:val="Corps"/>
      </w:pPr>
      <w:r>
        <w:t xml:space="preserve">Les comptes consolidés ou documents de groupe communiqués à l'assemblée sont référencés [Référence des comptes consolidés et du rapport de groupe] et sont accessibles avec les autres documents préparatoires.</w:t>
      </w:r>
    </w:p>
    <w:p>
      <w:pPr>
        <w:pStyle w:val="Intertitre"/>
      </w:pPr>
      <w:r>
        <w:t xml:space="preserve">Clause optionnelle : Rapport de durabilité</w:t>
      </w:r>
    </w:p>
    <w:p>
      <w:pPr>
        <w:pStyle w:val="Corps"/>
      </w:pPr>
      <w:r>
        <w:t xml:space="preserve">Le rapport de durabilité ou document équivalent communiqué à l'assemblée est référencé [Référence des informations en matière de durabilité] et est accessible avec les autres documents préparatoires.</w:t>
      </w:r>
    </w:p>
    <w:p>
      <w:pPr>
        <w:pStyle w:val="Intertitre"/>
      </w:pPr>
      <w:r>
        <w:t xml:space="preserve">Clause optionnelle : Représentation</w:t>
      </w:r>
    </w:p>
    <w:p>
      <w:pPr>
        <w:pStyle w:val="Corps"/>
      </w:pPr>
      <w:r>
        <w:t xml:space="preserve">La représentation par mandataire est organisée selon [Règles de représentation applicables] ; le formulaire correspondant est référencé [Référence du pouvoir ou formulaire de représentation]. Le pouvoir doit être établi conformément au régime applicable.</w:t>
      </w:r>
    </w:p>
    <w:p>
      <w:pPr>
        <w:pStyle w:val="Intertitre"/>
      </w:pPr>
      <w:r>
        <w:t xml:space="preserve">Clause optionnelle : Vote par correspondance</w:t>
      </w:r>
    </w:p>
    <w:p>
      <w:pPr>
        <w:pStyle w:val="Corps"/>
      </w:pPr>
      <w:r>
        <w:t xml:space="preserve">Le vote par correspondance est organisé selon [Fondement statutaire du vote par correspondance] au moyen du formulaire [Référence du formulaire de vote par correspondance], à retourner avant [Échéance de réception du vote par correspondance].</w:t>
      </w:r>
    </w:p>
    <w:p>
      <w:pPr>
        <w:pStyle w:val="Intertitre"/>
      </w:pPr>
      <w:r>
        <w:t xml:space="preserve">Clause optionnelle : Participation à distance</w:t>
      </w:r>
    </w:p>
    <w:p>
      <w:pPr>
        <w:pStyle w:val="Corps"/>
      </w:pPr>
      <w:r>
        <w:t xml:space="preserve">L'identification, l'essai technique et le traitement des incidents sont organisés comme suit : [Procédure d'identification à distance] ; [Procédure de test technique] ; [Procédure en cas d'incident technique].</w:t>
      </w:r>
    </w:p>
    <w:p>
      <w:pPr>
        <w:pStyle w:val="Intertitre"/>
      </w:pPr>
      <w:r>
        <w:t xml:space="preserve">Clause optionnelle : Demandes d'inscription à l'ordre du jour</w:t>
      </w:r>
    </w:p>
    <w:p>
      <w:pPr>
        <w:pStyle w:val="Corps"/>
      </w:pPr>
      <w:r>
        <w:t xml:space="preserve">Les demandes d'inscription de points ou projets reçues et intégrées sont identifiées par [Point ou projet de résolution demandé] et [Preuve de réception et de recevabilité de la demande] ; leur traitement est tracé avec le dossier de séance.</w:t>
      </w:r>
    </w:p>
    <w:p>
      <w:pPr>
        <w:pStyle w:val="Intertitre"/>
      </w:pPr>
      <w:r>
        <w:t xml:space="preserve">Clause optionnelle : Participation du comité social et économique</w:t>
      </w:r>
    </w:p>
    <w:p>
      <w:pPr>
        <w:pStyle w:val="Corps"/>
      </w:pPr>
      <w:r>
        <w:t xml:space="preserve">Les représentants du comité social et économique concernés sont [Identité des représentants du comité social et économique] ; leurs demandes de résolutions sont référencées [Projets de résolutions demandés par le comité social et économique].</w:t>
      </w:r>
    </w:p>
    <w:p>
      <w:pPr>
        <w:pStyle w:val="Intertitre"/>
      </w:pPr>
      <w:r>
        <w:t xml:space="preserve">Clause optionnelle : Questions écrites</w:t>
      </w:r>
    </w:p>
    <w:p>
      <w:pPr>
        <w:pStyle w:val="Corps"/>
      </w:pPr>
      <w:r>
        <w:t xml:space="preserve">Les questions écrites adressées à la direction sont traitées selon [Procédure de questions écrites à la direction] ; leur réception et leur réponse sont conservées avec le dossier d'assemblée.</w:t>
      </w:r>
    </w:p>
    <w:p>
      <w:pPr>
        <w:pStyle w:val="Intertitre"/>
      </w:pPr>
      <w:r>
        <w:t xml:space="preserve">Clause optionnelle : Pièces jointes</w:t>
      </w:r>
    </w:p>
    <w:p>
      <w:pPr>
        <w:pStyle w:val="Corps"/>
      </w:pPr>
      <w:r>
        <w:t xml:space="preserve">Les annexes jointes à la convocation sont : [Inventaire des pièces jointes]. Leur inventaire permet au destinataire de vérifier l'intégrité de l'envoi reçu.</w:t>
      </w:r>
    </w:p>
    <w:p>
      <w:pPr>
        <w:pStyle w:val="Intertitre"/>
      </w:pPr>
      <w:r>
        <w:t xml:space="preserve">Clause optionnelle : Confirmation de réception</w:t>
      </w:r>
    </w:p>
    <w:p>
      <w:pPr>
        <w:pStyle w:val="Corps"/>
      </w:pPr>
      <w:r>
        <w:t xml:space="preserve">La réception de la convocation doit être confirmée par le canal [Canal de réponse du destinataire]. Cette confirmation est conservée avec la preuve d'envoi.</w:t>
      </w:r>
    </w:p>
    <w:p>
      <w:pPr>
        <w:pStyle w:val="Intertitre"/>
      </w:pPr>
      <w:r>
        <w:t xml:space="preserve">Signature — choisir une seule variante</w:t>
      </w:r>
    </w:p>
    <w:p>
      <w:pPr>
        <w:pStyle w:val="Variante"/>
      </w:pPr>
      <w:r>
        <w:t xml:space="preserve">Variante : Signature du Gérant</w:t>
      </w:r>
    </w:p>
    <w:p>
      <w:pPr>
        <w:pStyle w:val="Corps"/>
      </w:pPr>
      <w:r>
        <w:t xml:space="preserve">Fait à [Lieu de signature], le [Date de signature]. Pour la SARL, le Gérant : [Nom du signataire].</w:t>
      </w:r>
    </w:p>
    <w:p>
      <w:pPr>
        <w:pStyle w:val="Variante"/>
      </w:pPr>
      <w:r>
        <w:t xml:space="preserve">Variante : Signature du Président</w:t>
      </w:r>
    </w:p>
    <w:p>
      <w:pPr>
        <w:pStyle w:val="Corps"/>
      </w:pPr>
      <w:r>
        <w:t xml:space="preserve">Fait à [Lieu de signature], le [Date de signature]. Pour la SAS, le Président : [Nom du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