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PACTE D'ASSOCIÉS OU D'ACTIONNAIRES — MAJORITAIRE, MINORITAIRE OU 50/50</w:t>
      </w:r>
    </w:p>
    <w:p>
      <w:pPr>
        <w:pStyle w:val="Intertitre"/>
      </w:pPr>
      <w:r>
        <w:t xml:space="preserve">Pacte d'associés ou d'actionnaires</w:t>
      </w:r>
    </w:p>
    <w:p>
      <w:pPr>
        <w:pStyle w:val="Corps"/>
      </w:pPr>
      <w:r>
        <w:t xml:space="preserve">Le présent pacte organise les rapports entre les détenteurs de titres de [Dénomination de la société]. Les identités, qualités, pouvoirs et pièces de détention sont rapprochés avant signature; aucune société, personne, adresse, participation ou autorisation n'est déduite du seul contexte de groupe.</w:t>
      </w:r>
    </w:p>
    <w:p>
      <w:pPr>
        <w:pStyle w:val="Intertitre"/>
      </w:pPr>
      <w:r>
        <w:t xml:space="preserve">Parties</w:t>
      </w:r>
    </w:p>
    <w:p>
      <w:pPr>
        <w:pStyle w:val="Corps"/>
      </w:pPr>
      <w:r>
        <w:t xml:space="preserve">Les parties sont identifiées par [Identité, forme, adresse et immatriculation des parties] et déclarent disposer des pouvoirs établis par [Pouvoirs et autorisations des signataires]. La clause précise sa date de référence et renvoie à une annexe figée; toute modification ultérieure du capital ou des signataires est traitée par le mécanisme d'adhésion ou de mise à jour.</w:t>
      </w:r>
    </w:p>
    <w:p>
      <w:pPr>
        <w:pStyle w:val="Intertitre"/>
      </w:pPr>
      <w:r>
        <w:t xml:space="preserve">Société</w:t>
      </w:r>
    </w:p>
    <w:p>
      <w:pPr>
        <w:pStyle w:val="Corps"/>
      </w:pPr>
      <w:r>
        <w:t xml:space="preserve">[Dénomination de la société], [Forme juridique de la société], au capital de [Capital social], dont le siège est [Siège social], immatriculée sous [Immatriculation], est la « Société ».</w:t>
      </w:r>
    </w:p>
    <w:p>
      <w:pPr>
        <w:pStyle w:val="Intertitre"/>
      </w:pPr>
      <w:r>
        <w:t xml:space="preserve">Capital et droits de vote</w:t>
      </w:r>
    </w:p>
    <w:p>
      <w:pPr>
        <w:pStyle w:val="Corps"/>
      </w:pPr>
      <w:r>
        <w:t xml:space="preserve">La détention, les droits de vote et les catégories de titres résultent de [Table de capitalisation et droits de vote] et de [Catégories de titres]. Chaque partie confirme uniquement les informations ressortant de ses pièces et conserve la preuve de son pouvoir; le pacte n'attribue aucun titre ni droit non inscrit dans les registres.</w:t>
      </w:r>
    </w:p>
    <w:p>
      <w:pPr>
        <w:pStyle w:val="Intertitre"/>
      </w:pPr>
      <w:r>
        <w:t xml:space="preserve">Détention indirecte</w:t>
      </w:r>
    </w:p>
    <w:p>
      <w:pPr>
        <w:pStyle w:val="Corps"/>
      </w:pPr>
      <w:r>
        <w:t xml:space="preserve">Les détentions indirectes et bénéficiaires effectifs pertinents sont décrits dans [Bénéficiaires effectifs et détention indirecte]. L'information est ventilée par partie, catégorie de titres et droits de vote afin d'éviter qu'une détention indirecte, un démembrement ou une sûreté soit traité comme une pleine propriété disponible.</w:t>
      </w:r>
    </w:p>
    <w:p>
      <w:pPr>
        <w:pStyle w:val="Intertitre"/>
      </w:pPr>
      <w:r>
        <w:t xml:space="preserve">Capacité et autorisations</w:t>
      </w:r>
    </w:p>
    <w:p>
      <w:pPr>
        <w:pStyle w:val="Corps"/>
      </w:pPr>
      <w:r>
        <w:t xml:space="preserve">Chaque partie confirme que [Pouvoirs et autorisations des signataires] l'autorise à conclure et exécuter le pacte. Les identités, qualités, pouvoirs et pièces de détention sont rapprochés avant signature; aucune société, personne, adresse, participation ou autorisation n'est déduite du seul contexte de groupe.</w:t>
      </w:r>
    </w:p>
    <w:p>
      <w:pPr>
        <w:pStyle w:val="Intertitre"/>
      </w:pPr>
      <w:r>
        <w:t xml:space="preserve">Adhésion</w:t>
      </w:r>
    </w:p>
    <w:p>
      <w:pPr>
        <w:pStyle w:val="Corps"/>
      </w:pPr>
      <w:r>
        <w:t xml:space="preserve">Toute nouvelle partie adhère selon [Modalités d'adhésion au pacte] avant d'exercer les droits contractuels attachés aux titres concernés. La clause précise sa date de référence et renvoie à une annexe figée; toute modification ultérieure du capital ou des signataires est traitée par le mécanisme d'adhésion ou de mise à jour.</w:t>
      </w:r>
    </w:p>
    <w:p>
      <w:pPr>
        <w:pStyle w:val="Intertitre"/>
      </w:pPr>
      <w:r>
        <w:t xml:space="preserve">Préambule</w:t>
      </w:r>
    </w:p>
    <w:p>
      <w:pPr>
        <w:pStyle w:val="Corps"/>
      </w:pPr>
      <w:r>
        <w:t xml:space="preserve">Les parties rappellent les faits suivants : [Contexte et faits du préambule] et poursuivent les objectifs [Objectifs du pacte]. Cette stipulation délimite l'économie du pacte sans remplacer les statuts ni créer une décision sociale; toute contradiction est signalée et traitée selon les règles impératives de la forme.</w:t>
      </w:r>
    </w:p>
    <w:p>
      <w:pPr>
        <w:pStyle w:val="Intertitre"/>
      </w:pPr>
      <w:r>
        <w:t xml:space="preserve">Définitions</w:t>
      </w:r>
    </w:p>
    <w:p>
      <w:pPr>
        <w:pStyle w:val="Corps"/>
      </w:pPr>
      <w:r>
        <w:t xml:space="preserve">Les termes définis sont recensés dans [Définitions contractuelles] et s'appliquent au pacte et à ses annexes. Les termes sont interprétés de façon cohérente dans les clauses de gouvernance, financement, transfert, sortie et blocage; une définition spéciale prévaut seulement dans son périmètre exprès.</w:t>
      </w:r>
    </w:p>
    <w:p>
      <w:pPr>
        <w:pStyle w:val="Intertitre"/>
      </w:pPr>
      <w:r>
        <w:t xml:space="preserve">Effet entre les parties</w:t>
      </w:r>
    </w:p>
    <w:p>
      <w:pPr>
        <w:pStyle w:val="Corps"/>
      </w:pPr>
      <w:r>
        <w:t xml:space="preserve">Le pacte oblige ses signataires sans modifier à lui seul les statuts ni les pouvoirs légaux des organes sociaux. Le contexte décrit les objectifs et équilibres recherchés sans garantir leur réalisation future; les obligations exécutoires sont exclusivement celles rédigées dans les clauses opérationnelles.</w:t>
      </w:r>
    </w:p>
    <w:p>
      <w:pPr>
        <w:pStyle w:val="Intertitre"/>
      </w:pPr>
      <w:r>
        <w:t xml:space="preserve">Cohérence avec les statuts</w:t>
      </w:r>
    </w:p>
    <w:p>
      <w:pPr>
        <w:pStyle w:val="Corps"/>
      </w:pPr>
      <w:r>
        <w:t xml:space="preserve">Le pacte est rapproché des statuts [Référence des statuts à jour] selon [Matrice de cohérence pacte-statuts]. Toute protection qui exige une stipulation statutaire doit être reproduite dans les statuts avant d'être présentée comme opposable à la Société ou aux tiers.</w:t>
      </w:r>
    </w:p>
    <w:p>
      <w:pPr>
        <w:pStyle w:val="Intertitre"/>
      </w:pPr>
      <w:r>
        <w:t xml:space="preserve"> — choisir une seule variante</w:t>
      </w:r>
    </w:p>
    <w:p>
      <w:pPr>
        <w:pStyle w:val="Variante"/>
      </w:pPr>
      <w:r>
        <w:t xml:space="preserve">Variante : Régime SAS</w:t>
      </w:r>
    </w:p>
    <w:p>
      <w:pPr>
        <w:pStyle w:val="Corps"/>
      </w:pPr>
      <w:r>
        <w:t xml:space="preserve">La gouvernance et les transferts sont articulés avec les règles légales et statutaires propres à la SAS. L'effet demeure contractuel entre signataires; l'opposabilité à la société, aux organes ou aux tiers suppose les actes, décisions, inscriptions ou adhésions requis séparément.</w:t>
      </w:r>
    </w:p>
    <w:p>
      <w:pPr>
        <w:pStyle w:val="Variante"/>
      </w:pPr>
      <w:r>
        <w:t xml:space="preserve">Variante : Régime SA</w:t>
      </w:r>
    </w:p>
    <w:p>
      <w:pPr>
        <w:pStyle w:val="Corps"/>
      </w:pPr>
      <w:r>
        <w:t xml:space="preserve">La gouvernance et les transferts sont articulés avec les compétences impératives des organes de la SA et les conditions statutaires applicables aux actions nominatives non cotées.</w:t>
      </w:r>
    </w:p>
    <w:p>
      <w:pPr>
        <w:pStyle w:val="Variante"/>
      </w:pPr>
      <w:r>
        <w:t xml:space="preserve">Variante : Régime SARL</w:t>
      </w:r>
    </w:p>
    <w:p>
      <w:pPr>
        <w:pStyle w:val="Corps"/>
      </w:pPr>
      <w:r>
        <w:t xml:space="preserve">Les droits contractuels sont articulés avec les règles de décision et d'agrément applicables aux parts sociales de SARL. Cette stipulation délimite l'économie du pacte sans remplacer les statuts ni créer une décision sociale; toute contradiction est signalée et traitée selon les règles impératives de la forme.</w:t>
      </w:r>
    </w:p>
    <w:p>
      <w:pPr>
        <w:pStyle w:val="Variante"/>
      </w:pPr>
      <w:r>
        <w:t xml:space="preserve">Variante : Régime de société civile</w:t>
      </w:r>
    </w:p>
    <w:p>
      <w:pPr>
        <w:pStyle w:val="Corps"/>
      </w:pPr>
      <w:r>
        <w:t xml:space="preserve">Les droits contractuels sont articulés avec le Code civil, les statuts et les règles d'agrément propres aux parts sociales de la Société. Les termes sont interprétés de façon cohérente dans les clauses de gouvernance, financement, transfert, sortie et blocage; une définition spéciale prévaut seulement dans son périmètre exprès.</w:t>
      </w:r>
    </w:p>
    <w:p>
      <w:pPr>
        <w:pStyle w:val="Intertitre"/>
      </w:pPr>
      <w:r>
        <w:t xml:space="preserve"> — choisir une seule variante</w:t>
      </w:r>
    </w:p>
    <w:p>
      <w:pPr>
        <w:pStyle w:val="Variante"/>
      </w:pPr>
      <w:r>
        <w:t xml:space="preserve">Variante : Contrôle majoritaire et protection minoritaire</w:t>
      </w:r>
    </w:p>
    <w:p>
      <w:pPr>
        <w:pStyle w:val="Corps"/>
      </w:pPr>
      <w:r>
        <w:t xml:space="preserve">[Associé ou groupe majoritaire] exerce les prérogatives [Prérogatives du majoritaire] sous réserve des protections consenties à [Associé ou groupe minoritaire] selon [Protections du minoritaire]. La procédure identifie organe, initiateur, délai, documents, quorum, majorité, conflits d'intérêts et preuve de décision; aucun silence ni participation informelle ne vaut accord sauf stipulation expresse.</w:t>
      </w:r>
    </w:p>
    <w:p>
      <w:pPr>
        <w:pStyle w:val="Variante"/>
      </w:pPr>
      <w:r>
        <w:t xml:space="preserve">Variante : Contrôle paritaire 50/50</w:t>
      </w:r>
    </w:p>
    <w:p>
      <w:pPr>
        <w:pStyle w:val="Corps"/>
      </w:pPr>
      <w:r>
        <w:t xml:space="preserve">[Parties au contrôle paritaire] exercent des droits paritaires selon [Répartition des droits en 50/50] ; aucune partie ne dispose seule du contrôle contractuel. Les droits de la majorité et la protection minoritaire sont articulés sans transférer la direction à un associé non dirigeant ni priver un organe de ses compétences légales ou statutaires.</w:t>
      </w:r>
    </w:p>
    <w:p>
      <w:pPr>
        <w:pStyle w:val="Intertitre"/>
      </w:pPr>
      <w:r>
        <w:t xml:space="preserve">Clause optionnelle : Organe de gouvernance</w:t>
      </w:r>
    </w:p>
    <w:p>
      <w:pPr>
        <w:pStyle w:val="Corps"/>
      </w:pPr>
      <w:r>
        <w:t xml:space="preserve">L'organe comprend [Taille de l'organe de gouvernance] membres nommés selon [Répartition des nominations]. La décision et son résultat sont consignés avec les voix, abstentions et réserves; une urgence peut adapter le calendrier mais ne supprime ni l'information utile ni la traçabilité.</w:t>
      </w:r>
    </w:p>
    <w:p>
      <w:pPr>
        <w:pStyle w:val="Intertitre"/>
      </w:pPr>
      <w:r>
        <w:t xml:space="preserve">Clause optionnelle : Nomination, révocation et remplacement</w:t>
      </w:r>
    </w:p>
    <w:p>
      <w:pPr>
        <w:pStyle w:val="Corps"/>
      </w:pPr>
      <w:r>
        <w:t xml:space="preserve">Les nominations et remplacements suivent [Répartition des nominations] et les révocations suivent [Règles de révocation et remplacement]. Tout droit d'information, d'observation ou de contrôle respecte confidentialité, secret des affaires et fonctionnement social; son exercice abusif ne suspend pas les décisions courantes non réservées.</w:t>
      </w:r>
    </w:p>
    <w:p>
      <w:pPr>
        <w:pStyle w:val="Intertitre"/>
      </w:pPr>
      <w:r>
        <w:t xml:space="preserve">Clause optionnelle : Présidence de l'organe</w:t>
      </w:r>
    </w:p>
    <w:p>
      <w:pPr>
        <w:pStyle w:val="Corps"/>
      </w:pPr>
      <w:r>
        <w:t xml:space="preserve">La présidence est désignée selon [Désignation de la présidence]. Cette mention est consignée avec les justificatifs sociaux et les pièces de formalité conservés au dossier de l'opération.</w:t>
      </w:r>
    </w:p>
    <w:p>
      <w:pPr>
        <w:pStyle w:val="Intertitre"/>
      </w:pPr>
      <w:r>
        <w:t xml:space="preserve">Clause optionnelle : Voix prépondérante</w:t>
      </w:r>
    </w:p>
    <w:p>
      <w:pPr>
        <w:pStyle w:val="Corps"/>
      </w:pPr>
      <w:r>
        <w:t xml:space="preserve">La voix prépondérante est régie par [Règles de voix prépondérante] sans permettre de contourner une décision réservée. La procédure identifie organe, initiateur, délai, documents, quorum, majorité, conflits d'intérêts et preuve de décision; aucun silence ni participation informelle ne vaut accord sauf stipulation expresse.</w:t>
      </w:r>
    </w:p>
    <w:p>
      <w:pPr>
        <w:pStyle w:val="Intertitre"/>
      </w:pPr>
      <w:r>
        <w:t xml:space="preserve">Clause optionnelle : Observateur</w:t>
      </w:r>
    </w:p>
    <w:p>
      <w:pPr>
        <w:pStyle w:val="Corps"/>
      </w:pPr>
      <w:r>
        <w:t xml:space="preserve">L'observateur bénéficie de [Droits de l'observateur] sans droit de vote ni pouvoir de représentation. Les droits de la majorité et la protection minoritaire sont articulés sans transférer la direction à un associé non dirigeant ni priver un organe de ses compétences légales ou statutaires.</w:t>
      </w:r>
    </w:p>
    <w:p>
      <w:pPr>
        <w:pStyle w:val="Intertitre"/>
      </w:pPr>
      <w:r>
        <w:t xml:space="preserve">Clause optionnelle : Réunions</w:t>
      </w:r>
    </w:p>
    <w:p>
      <w:pPr>
        <w:pStyle w:val="Corps"/>
      </w:pPr>
      <w:r>
        <w:t xml:space="preserve">L'organe se réunit selon [Périodicité des réunions] et est convoqué selon [Convocation et ordre du jour]. La décision et son résultat sont consignés avec les voix, abstentions et réserves; une urgence peut adapter le calendrier mais ne supprime ni l'information utile ni la traçabilité.</w:t>
      </w:r>
    </w:p>
    <w:p>
      <w:pPr>
        <w:pStyle w:val="Intertitre"/>
      </w:pPr>
      <w:r>
        <w:t xml:space="preserve">Quorum</w:t>
      </w:r>
    </w:p>
    <w:p>
      <w:pPr>
        <w:pStyle w:val="Corps"/>
      </w:pPr>
      <w:r>
        <w:t xml:space="preserve">Le quorum contractuel est défini par [Quorum contractuel] sous réserve des règles légales et statutaires impératives. Tout droit d'information, d'observation ou de contrôle respecte confidentialité, secret des affaires et fonctionnement social; son exercice abusif ne suspend pas les décisions courantes non réservées.</w:t>
      </w:r>
    </w:p>
    <w:p>
      <w:pPr>
        <w:pStyle w:val="Intertitre"/>
      </w:pPr>
      <w:r>
        <w:t xml:space="preserve">Majorités</w:t>
      </w:r>
    </w:p>
    <w:p>
      <w:pPr>
        <w:pStyle w:val="Corps"/>
      </w:pPr>
      <w:r>
        <w:t xml:space="preserve">Les majorités applicables sont définies par [Majorités contractuelles] sous réserve des compétences et majorités impératives. La procédure identifie organe, initiateur, délai, documents, quorum, majorité, conflits d'intérêts et preuve de décision; aucun silence ni participation informelle ne vaut accord sauf stipulation expresse.</w:t>
      </w:r>
    </w:p>
    <w:p>
      <w:pPr>
        <w:pStyle w:val="Intertitre"/>
      </w:pPr>
      <w:r>
        <w:t xml:space="preserve">Clause optionnelle : Décisions réservées</w:t>
      </w:r>
    </w:p>
    <w:p>
      <w:pPr>
        <w:pStyle w:val="Corps"/>
      </w:pPr>
      <w:r>
        <w:t xml:space="preserve">Les décisions [Liste des décisions réservées] requièrent [Seuil d'approbation des décisions réservées] après communication de [Informations préalables aux décisions]. Les droits de la majorité et la protection minoritaire sont articulés sans transférer la direction à un associé non dirigeant ni priver un organe de ses compétences légales ou statutaires.</w:t>
      </w:r>
    </w:p>
    <w:p>
      <w:pPr>
        <w:pStyle w:val="Intertitre"/>
      </w:pPr>
      <w:r>
        <w:t xml:space="preserve">Clause optionnelle : Droits de veto</w:t>
      </w:r>
    </w:p>
    <w:p>
      <w:pPr>
        <w:pStyle w:val="Corps"/>
      </w:pPr>
      <w:r>
        <w:t xml:space="preserve">Les bénéficiaires [Bénéficiaires des droits de veto] disposent des vetos limités à [Champ et limites des vetos] et ne peuvent les exercer contrairement à la bonne foi ou à l'intérêt social.</w:t>
      </w:r>
    </w:p>
    <w:p>
      <w:pPr>
        <w:pStyle w:val="Intertitre"/>
      </w:pPr>
      <w:r>
        <w:t xml:space="preserve">Droits d'information</w:t>
      </w:r>
    </w:p>
    <w:p>
      <w:pPr>
        <w:pStyle w:val="Corps"/>
      </w:pPr>
      <w:r>
        <w:t xml:space="preserve">Les parties reçoivent [Droits d'information] selon la périodicité et les formats convenus. La décision et son résultat sont consignés avec les voix, abstentions et réserves; une urgence peut adapter le calendrier mais ne supprime ni l'information utile ni la traçabilité.</w:t>
      </w:r>
    </w:p>
    <w:p>
      <w:pPr>
        <w:pStyle w:val="Intertitre"/>
      </w:pPr>
      <w:r>
        <w:t xml:space="preserve">Reporting</w:t>
      </w:r>
    </w:p>
    <w:p>
      <w:pPr>
        <w:pStyle w:val="Corps"/>
      </w:pPr>
      <w:r>
        <w:t xml:space="preserve">La Société prépare et transmet [Reporting périodique]. Cette stipulation s'applique avec les autres décisions et annexes de l'opération, dans le périmètre expressément arrêté par les parties.</w:t>
      </w:r>
    </w:p>
    <w:p>
      <w:pPr>
        <w:pStyle w:val="Intertitre"/>
      </w:pPr>
      <w:r>
        <w:t xml:space="preserve">Business plan et budget</w:t>
      </w:r>
    </w:p>
    <w:p>
      <w:pPr>
        <w:pStyle w:val="Corps"/>
      </w:pPr>
      <w:r>
        <w:t xml:space="preserve">Le budget est préparé selon [Calendrier budgétaire] et le business plan est adopté selon [Procédure d'adoption du business plan]. Tout droit d'information, d'observation ou de contrôle respecte confidentialité, secret des affaires et fonctionnement social; son exercice abusif ne suspend pas les décisions courantes non réservées.</w:t>
      </w:r>
    </w:p>
    <w:p>
      <w:pPr>
        <w:pStyle w:val="Intertitre"/>
      </w:pPr>
      <w:r>
        <w:t xml:space="preserve">Clause optionnelle : Droit d'audit</w:t>
      </w:r>
    </w:p>
    <w:p>
      <w:pPr>
        <w:pStyle w:val="Corps"/>
      </w:pPr>
      <w:r>
        <w:t xml:space="preserve">Le droit d'audit s'exerce selon [Droit d'audit et d'accès] sans perturber excessivement l'activité ni violer un secret protégé. La procédure identifie organe, initiateur, délai, documents, quorum, majorité, conflits d'intérêts et preuve de décision; aucun silence ni participation informelle ne vaut accord sauf stipulation expresse.</w:t>
      </w:r>
    </w:p>
    <w:p>
      <w:pPr>
        <w:pStyle w:val="Intertitre"/>
      </w:pPr>
      <w:r>
        <w:t xml:space="preserve">Clause optionnelle : Conventions avec parties liées</w:t>
      </w:r>
    </w:p>
    <w:p>
      <w:pPr>
        <w:pStyle w:val="Corps"/>
      </w:pPr>
      <w:r>
        <w:t xml:space="preserve">Les conventions avec une partie liée sont identifiées et contrôlées selon [Contrôle des conventions liées]. Les droits de la majorité et la protection minoritaire sont articulés sans transférer la direction à un associé non dirigeant ni priver un organe de ses compétences légales ou statutaires.</w:t>
      </w:r>
    </w:p>
    <w:p>
      <w:pPr>
        <w:pStyle w:val="Intertitre"/>
      </w:pPr>
      <w:r>
        <w:t xml:space="preserve">Répartition des fonctions</w:t>
      </w:r>
    </w:p>
    <w:p>
      <w:pPr>
        <w:pStyle w:val="Corps"/>
      </w:pPr>
      <w:r>
        <w:t xml:space="preserve">Les fonctions opérationnelles et pouvoirs délégués sont répartis selon [Répartition des fonctions dirigeantes]. La décision et son résultat sont consignés avec les voix, abstentions et réserves; une urgence peut adapter le calendrier mais ne supprime ni l'information utile ni la traçabilité.</w:t>
      </w:r>
    </w:p>
    <w:p>
      <w:pPr>
        <w:pStyle w:val="Intertitre"/>
      </w:pPr>
      <w:r>
        <w:t xml:space="preserve">Politiques structurantes</w:t>
      </w:r>
    </w:p>
    <w:p>
      <w:pPr>
        <w:pStyle w:val="Corps"/>
      </w:pPr>
      <w:r>
        <w:t xml:space="preserve">Les politiques [Politiques structurantes] ne peuvent être adoptées ou modifiées qu'en respectant les droits de gouvernance convenus. Tout droit d'information, d'observation ou de contrôle respecte confidentialité, secret des affaires et fonctionnement social; son exercice abusif ne suspend pas les décisions courantes non réservées.</w:t>
      </w:r>
    </w:p>
    <w:p>
      <w:pPr>
        <w:pStyle w:val="Intertitre"/>
      </w:pPr>
      <w:r>
        <w:t xml:space="preserve">Politique de financement</w:t>
      </w:r>
    </w:p>
    <w:p>
      <w:pPr>
        <w:pStyle w:val="Corps"/>
      </w:pPr>
      <w:r>
        <w:t xml:space="preserve">Les besoins sont identifiés selon [Identification et validation des besoins] et financés conformément à [Politique de financement]. Le mécanisme précise montant, calendrier, instrument, rang, rémunération, dilution, pièces et conséquence du défaut; aucune partie n'est tenue de financer au-delà de son engagement exprès.</w:t>
      </w:r>
    </w:p>
    <w:p>
      <w:pPr>
        <w:pStyle w:val="Intertitre"/>
      </w:pPr>
      <w:r>
        <w:t xml:space="preserve">Clause optionnelle : Engagements de financement</w:t>
      </w:r>
    </w:p>
    <w:p>
      <w:pPr>
        <w:pStyle w:val="Corps"/>
      </w:pPr>
      <w:r>
        <w:t xml:space="preserve">Les engagements fermes des parties sont limitativement décrits par [Engagements de financement]. Toute émission ou avance est rapprochée du budget, des besoins et des décisions sociales; prix, droits, conversion et priorité restent déterminés sans accord futur laissé à une seule partie.</w:t>
      </w:r>
    </w:p>
    <w:p>
      <w:pPr>
        <w:pStyle w:val="Intertitre"/>
      </w:pPr>
      <w:r>
        <w:t xml:space="preserve">Clause optionnelle : Comptes courants et prêts d'associés</w:t>
      </w:r>
    </w:p>
    <w:p>
      <w:pPr>
        <w:pStyle w:val="Corps"/>
      </w:pPr>
      <w:r>
        <w:t xml:space="preserve">Les avances sont consenties selon [Conditions des comptes courants et prêts] et ne sont jamais déduites d'une simple participation au capital. La formule distingue investissement initial, financement complémentaire et financement externe et traite la partie non contestée, les dépassements et la restitution des fonds inutilisés.</w:t>
      </w:r>
    </w:p>
    <w:p>
      <w:pPr>
        <w:pStyle w:val="Intertitre"/>
      </w:pPr>
      <w:r>
        <w:t xml:space="preserve">Émissions futures</w:t>
      </w:r>
    </w:p>
    <w:p>
      <w:pPr>
        <w:pStyle w:val="Corps"/>
      </w:pPr>
      <w:r>
        <w:t xml:space="preserve">Les augmentations de capital et émissions de titres suivent [Conditions des émissions futures]. Le défaut ouvre uniquement les remèdes convenus après notification et délai de remède; dilution, suspension ou décote ne se cumulent pas avec des dommages réparant le même préjudice.</w:t>
      </w:r>
    </w:p>
    <w:p>
      <w:pPr>
        <w:pStyle w:val="Intertitre"/>
      </w:pPr>
      <w:r>
        <w:t xml:space="preserve">Priorité de souscription</w:t>
      </w:r>
    </w:p>
    <w:p>
      <w:pPr>
        <w:pStyle w:val="Corps"/>
      </w:pPr>
      <w:r>
        <w:t xml:space="preserve">Les parties bénéficient de [Priorité de souscription] sous réserve des décisions sociales et droits légaux applicables. Le mécanisme précise montant, calendrier, instrument, rang, rémunération, dilution, pièces et conséquence du défaut; aucune partie n'est tenue de financer au-delà de son engagement exprès.</w:t>
      </w:r>
    </w:p>
    <w:p>
      <w:pPr>
        <w:pStyle w:val="Intertitre"/>
      </w:pPr>
      <w:r>
        <w:t xml:space="preserve"> — choisir une seule variante</w:t>
      </w:r>
    </w:p>
    <w:p>
      <w:pPr>
        <w:pStyle w:val="Variante"/>
      </w:pPr>
      <w:r>
        <w:t xml:space="preserve">Variante : Absence d'anti-dilution contractuelle</w:t>
      </w:r>
    </w:p>
    <w:p>
      <w:pPr>
        <w:pStyle w:val="Corps"/>
      </w:pPr>
      <w:r>
        <w:t xml:space="preserve">Aucun ajustement anti-dilution n'est appliqué au-delà des droits de souscription expressément maintenus. Toute émission ou avance est rapprochée du budget, des besoins et des décisions sociales; prix, droits, conversion et priorité restent déterminés sans accord futur laissé à une seule partie.</w:t>
      </w:r>
    </w:p>
    <w:p>
      <w:pPr>
        <w:pStyle w:val="Variante"/>
      </w:pPr>
      <w:r>
        <w:t xml:space="preserve">Variante : Anti-dilution moyenne pondérée</w:t>
      </w:r>
    </w:p>
    <w:p>
      <w:pPr>
        <w:pStyle w:val="Corps"/>
      </w:pPr>
      <w:r>
        <w:t xml:space="preserve">L'ajustement est calculé exclusivement selon [Formule d'anti-dilution moyenne pondérée]. La formule distingue investissement initial, financement complémentaire et financement externe et traite la partie non contestée, les dépassements et la restitution des fonds inutilisés.</w:t>
      </w:r>
    </w:p>
    <w:p>
      <w:pPr>
        <w:pStyle w:val="Variante"/>
      </w:pPr>
      <w:r>
        <w:t xml:space="preserve">Variante : Anti-dilution full ratchet</w:t>
      </w:r>
    </w:p>
    <w:p>
      <w:pPr>
        <w:pStyle w:val="Corps"/>
      </w:pPr>
      <w:r>
        <w:t xml:space="preserve">L'ajustement est calculé exclusivement selon [Formule d'anti-dilution full ratchet]. Le défaut ouvre uniquement les remèdes convenus après notification et délai de remède; dilution, suspension ou décote ne se cumulent pas avec des dommages réparant le même préjudice.</w:t>
      </w:r>
    </w:p>
    <w:p>
      <w:pPr>
        <w:pStyle w:val="Intertitre"/>
      </w:pPr>
      <w:r>
        <w:t xml:space="preserve">Clause optionnelle : Pay-to-play</w:t>
      </w:r>
    </w:p>
    <w:p>
      <w:pPr>
        <w:pStyle w:val="Corps"/>
      </w:pPr>
      <w:r>
        <w:t xml:space="preserve">Le maintien de certains droits dépend de la participation au financement selon [Mécanisme pay-to-play]. Le mécanisme précise montant, calendrier, instrument, rang, rémunération, dilution, pièces et conséquence du défaut; aucune partie n'est tenue de financer au-delà de son engagement exprès.</w:t>
      </w:r>
    </w:p>
    <w:p>
      <w:pPr>
        <w:pStyle w:val="Intertitre"/>
      </w:pPr>
      <w:r>
        <w:t xml:space="preserve">Défaut de financement</w:t>
      </w:r>
    </w:p>
    <w:p>
      <w:pPr>
        <w:pStyle w:val="Corps"/>
      </w:pPr>
      <w:r>
        <w:t xml:space="preserve">Le défaut à un engagement ferme produit uniquement les conséquences [Conséquences d'un défaut de financement]. Toute émission ou avance est rapprochée du budget, des besoins et des décisions sociales; prix, droits, conversion et priorité restent déterminés sans accord futur laissé à une seule partie.</w:t>
      </w:r>
    </w:p>
    <w:p>
      <w:pPr>
        <w:pStyle w:val="Intertitre"/>
      </w:pPr>
      <w:r>
        <w:t xml:space="preserve">Clause optionnelle : Politique de distribution</w:t>
      </w:r>
    </w:p>
    <w:p>
      <w:pPr>
        <w:pStyle w:val="Corps"/>
      </w:pPr>
      <w:r>
        <w:t xml:space="preserve">Les distributions sont proposées et décidées selon [Politique de distribution], sans clause léonine ni garantie de rendement. La formule distingue investissement initial, financement complémentaire et financement externe et traite la partie non contestée, les dépassements et la restitution des fonds inutilisés.</w:t>
      </w:r>
    </w:p>
    <w:p>
      <w:pPr>
        <w:pStyle w:val="Intertitre"/>
      </w:pPr>
      <w:r>
        <w:t xml:space="preserve">Définition des transferts</w:t>
      </w:r>
    </w:p>
    <w:p>
      <w:pPr>
        <w:pStyle w:val="Corps"/>
      </w:pPr>
      <w:r>
        <w:t xml:space="preserve">Les opérations constituant un transfert sont définies par [Définition des transferts]. La procédure précise titres, acquéreur, prix, financement, calendrier, preuve de réception et décisions requises; aucun transfert n'est présenté comme opposable avant les inscriptions applicables.</w:t>
      </w:r>
    </w:p>
    <w:p>
      <w:pPr>
        <w:pStyle w:val="Intertitre"/>
      </w:pPr>
      <w:r>
        <w:t xml:space="preserve">Clause optionnelle : Inaliénabilité temporaire — SAS</w:t>
      </w:r>
    </w:p>
    <w:p>
      <w:pPr>
        <w:pStyle w:val="Corps"/>
      </w:pPr>
      <w:r>
        <w:t xml:space="preserve">Les actions concernées sont inaliénables jusqu'au [Date de fin d'inaliénabilité], sous réserve des exceptions et de la limite statutaire applicable à la SAS. Les transferts autorisés sont interprétés strictement, imposent l'adhésion du bénéficiaire et prévoient retransfert si les conditions cessent; ils ne servent pas à contourner agrément ou préemption.</w:t>
      </w:r>
    </w:p>
    <w:p>
      <w:pPr>
        <w:pStyle w:val="Intertitre"/>
      </w:pPr>
      <w:r>
        <w:t xml:space="preserve">Clause optionnelle : Inaliénabilité temporaire — autre forme</w:t>
      </w:r>
    </w:p>
    <w:p>
      <w:pPr>
        <w:pStyle w:val="Corps"/>
      </w:pPr>
      <w:r>
        <w:t xml:space="preserve">Les titres concernés sont inaliénables jusqu'au [Date de fin d'inaliénabilité] selon la portée contractuelle et les limites propres à la forme sociale vérifiée. Les délais courent à partir d'une notification complète et traçable; toute modification substantielle du prix, du périmètre ou de l'acquéreur impose une nouvelle notification.</w:t>
      </w:r>
    </w:p>
    <w:p>
      <w:pPr>
        <w:pStyle w:val="Intertitre"/>
      </w:pPr>
      <w:r>
        <w:t xml:space="preserve">Transferts autorisés</w:t>
      </w:r>
    </w:p>
    <w:p>
      <w:pPr>
        <w:pStyle w:val="Corps"/>
      </w:pPr>
      <w:r>
        <w:t xml:space="preserve">Les transferts relevant de [Transferts autorisés] sont permis sous [Conditions imposées au cessionnaire autorisé]. En cas de refus, les obligations d'achat, délais, prix et preuves sont appliqués selon la forme sociale; aucune clause ne présume une acquisition ou une cession forcée juridiquement impossible.</w:t>
      </w:r>
    </w:p>
    <w:p>
      <w:pPr>
        <w:pStyle w:val="Intertitre"/>
      </w:pPr>
      <w:r>
        <w:t xml:space="preserve">Notification d'un projet de transfert</w:t>
      </w:r>
    </w:p>
    <w:p>
      <w:pPr>
        <w:pStyle w:val="Corps"/>
      </w:pPr>
      <w:r>
        <w:t xml:space="preserve">Tout projet est notifié selon [Notification de transfert] avant sa réalisation. La procédure précise titres, acquéreur, prix, financement, calendrier, preuve de réception et décisions requises; aucun transfert n'est présenté comme opposable avant les inscriptions applicables.</w:t>
      </w:r>
    </w:p>
    <w:p>
      <w:pPr>
        <w:pStyle w:val="Intertitre"/>
      </w:pPr>
      <w:r>
        <w:t xml:space="preserve">Droit de préemption</w:t>
      </w:r>
    </w:p>
    <w:p>
      <w:pPr>
        <w:pStyle w:val="Corps"/>
      </w:pPr>
      <w:r>
        <w:t xml:space="preserve">Les bénéficiaires exercent leur droit selon [Procédure de préemption] sur les mêmes titres, prix et conditions. Les transferts autorisés sont interprétés strictement, imposent l'adhésion du bénéficiaire et prévoient retransfert si les conditions cessent; ils ne servent pas à contourner agrément ou préemption.</w:t>
      </w:r>
    </w:p>
    <w:p>
      <w:pPr>
        <w:pStyle w:val="Intertitre"/>
      </w:pPr>
      <w:r>
        <w:t xml:space="preserve">Droit de présenter une offre équivalente</w:t>
      </w:r>
    </w:p>
    <w:p>
      <w:pPr>
        <w:pStyle w:val="Corps"/>
      </w:pPr>
      <w:r>
        <w:t xml:space="preserve">Le droit de présenter une offre équivalente suit [Droit de présenter une offre équivalente]. Les délais courent à partir d'une notification complète et traçable; toute modification substantielle du prix, du périmètre ou de l'acquéreur impose une nouvelle notification.</w:t>
      </w:r>
    </w:p>
    <w:p>
      <w:pPr>
        <w:pStyle w:val="Intertitre"/>
      </w:pPr>
      <w:r>
        <w:t xml:space="preserve">Clause optionnelle : Agrément — SAS</w:t>
      </w:r>
    </w:p>
    <w:p>
      <w:pPr>
        <w:pStyle w:val="Corps"/>
      </w:pPr>
      <w:r>
        <w:t xml:space="preserve">Le transfert est soumis à [Procédure d'agrément] conformément aux statuts de la SAS. En cas de refus, les obligations d'achat, délais, prix et preuves sont appliqués selon la forme sociale; aucune clause ne présume une acquisition ou une cession forcée juridiquement impossible.</w:t>
      </w:r>
    </w:p>
    <w:p>
      <w:pPr>
        <w:pStyle w:val="Intertitre"/>
      </w:pPr>
      <w:r>
        <w:t xml:space="preserve">Clause optionnelle : Agrément — SA non cotée</w:t>
      </w:r>
    </w:p>
    <w:p>
      <w:pPr>
        <w:pStyle w:val="Corps"/>
      </w:pPr>
      <w:r>
        <w:t xml:space="preserve">Le transfert d'actions nominatives est soumis à [Procédure d'agrément] dans les conditions statutaires et légales vérifiées. La procédure précise titres, acquéreur, prix, financement, calendrier, preuve de réception et décisions requises; aucun transfert n'est présenté comme opposable avant les inscriptions applicables.</w:t>
      </w:r>
    </w:p>
    <w:p>
      <w:pPr>
        <w:pStyle w:val="Intertitre"/>
      </w:pPr>
      <w:r>
        <w:t xml:space="preserve">Clause optionnelle : Agrément — SARL</w:t>
      </w:r>
    </w:p>
    <w:p>
      <w:pPr>
        <w:pStyle w:val="Corps"/>
      </w:pPr>
      <w:r>
        <w:t xml:space="preserve">La cession de parts à un tiers est soumise à [Procédure d'agrément] et aux conditions légales et statutaires de la SARL. Les transferts autorisés sont interprétés strictement, imposent l'adhésion du bénéficiaire et prévoient retransfert si les conditions cessent; ils ne servent pas à contourner agrément ou préemption.</w:t>
      </w:r>
    </w:p>
    <w:p>
      <w:pPr>
        <w:pStyle w:val="Intertitre"/>
      </w:pPr>
      <w:r>
        <w:t xml:space="preserve">Clause optionnelle : Agrément — société civile</w:t>
      </w:r>
    </w:p>
    <w:p>
      <w:pPr>
        <w:pStyle w:val="Corps"/>
      </w:pPr>
      <w:r>
        <w:t xml:space="preserve">La cession de parts est soumise à [Procédure d'agrément] selon les statuts et le régime civil vérifié. Les délais courent à partir d'une notification complète et traçable; toute modification substantielle du prix, du périmètre ou de l'acquéreur impose une nouvelle notification.</w:t>
      </w:r>
    </w:p>
    <w:p>
      <w:pPr>
        <w:pStyle w:val="Intertitre"/>
      </w:pPr>
      <w:r>
        <w:t xml:space="preserve">Clause optionnelle : Conséquences d'un refus d'agrément</w:t>
      </w:r>
    </w:p>
    <w:p>
      <w:pPr>
        <w:pStyle w:val="Corps"/>
      </w:pPr>
      <w:r>
        <w:t xml:space="preserve">Le refus déclenche [Rachat en cas de refus] dans les seules conditions applicables au régime concerné. En cas de refus, les obligations d'achat, délais, prix et preuves sont appliqués selon la forme sociale; aucune clause ne présume une acquisition ou une cession forcée juridiquement impossible.</w:t>
      </w:r>
    </w:p>
    <w:p>
      <w:pPr>
        <w:pStyle w:val="Intertitre"/>
      </w:pPr>
      <w:r>
        <w:t xml:space="preserve">Clause optionnelle : Changement de contrôle indirect — SAS</w:t>
      </w:r>
    </w:p>
    <w:p>
      <w:pPr>
        <w:pStyle w:val="Corps"/>
      </w:pPr>
      <w:r>
        <w:t xml:space="preserve">Le changement de contrôle d'une partie personne morale est traité selon [Changement de contrôle indirect] et les statuts de la SAS. La procédure précise titres, acquéreur, prix, financement, calendrier, preuve de réception et décisions requises; aucun transfert n'est présenté comme opposable avant les inscriptions applicables.</w:t>
      </w:r>
    </w:p>
    <w:p>
      <w:pPr>
        <w:pStyle w:val="Intertitre"/>
      </w:pPr>
      <w:r>
        <w:t xml:space="preserve">Clause optionnelle : Changement de contrôle indirect — autre forme</w:t>
      </w:r>
    </w:p>
    <w:p>
      <w:pPr>
        <w:pStyle w:val="Corps"/>
      </w:pPr>
      <w:r>
        <w:t xml:space="preserve">Le changement de contrôle d'une partie personne morale est traité contractuellement selon [Changement de contrôle indirect] et les règles propres à la forme sociale. Les transferts autorisés sont interprétés strictement, imposent l'adhésion du bénéficiaire et prévoient retransfert si les conditions cessent; ils ne servent pas à contourner agrément ou préemption.</w:t>
      </w:r>
    </w:p>
    <w:p>
      <w:pPr>
        <w:pStyle w:val="Intertitre"/>
      </w:pPr>
      <w:r>
        <w:t xml:space="preserve">Nantissements et sûretés</w:t>
      </w:r>
    </w:p>
    <w:p>
      <w:pPr>
        <w:pStyle w:val="Corps"/>
      </w:pPr>
      <w:r>
        <w:t xml:space="preserve">La constitution ou réalisation d'une sûreté sur titres suit [Nantissement et sûretés sur titres]. Les délais courent à partir d'une notification complète et traçable; toute modification substantielle du prix, du périmètre ou de l'acquéreur impose une nouvelle notification.</w:t>
      </w:r>
    </w:p>
    <w:p>
      <w:pPr>
        <w:pStyle w:val="Intertitre"/>
      </w:pPr>
      <w:r>
        <w:t xml:space="preserve">Adhésion du cessionnaire</w:t>
      </w:r>
    </w:p>
    <w:p>
      <w:pPr>
        <w:pStyle w:val="Corps"/>
      </w:pPr>
      <w:r>
        <w:t xml:space="preserve">Le cessionnaire adhère selon [Adhésion du cessionnaire] avant de bénéficier des droits du pacte. En cas de refus, les obligations d'achat, délais, prix et preuves sont appliqués selon la forme sociale; aucune clause ne présume une acquisition ou une cession forcée juridiquement impossible.</w:t>
      </w:r>
    </w:p>
    <w:p>
      <w:pPr>
        <w:pStyle w:val="Intertitre"/>
      </w:pPr>
      <w:r>
        <w:t xml:space="preserve"> — choisir une seule variante</w:t>
      </w:r>
    </w:p>
    <w:p>
      <w:pPr>
        <w:pStyle w:val="Variante"/>
      </w:pPr>
      <w:r>
        <w:t xml:space="preserve">Variante : Absence de droit de suite</w:t>
      </w:r>
    </w:p>
    <w:p>
      <w:pPr>
        <w:pStyle w:val="Corps"/>
      </w:pPr>
      <w:r>
        <w:t xml:space="preserve">Aucun droit de sortie conjointe contractuel n'est accordé. L'offre qualifiée identifie acquéreur, périmètre, prix, financement, conditions et calendrier; une manifestation d'intérêt ou une offre soumise à renégociation ne déclenche pas la sortie.</w:t>
      </w:r>
    </w:p>
    <w:p>
      <w:pPr>
        <w:pStyle w:val="Variante"/>
      </w:pPr>
      <w:r>
        <w:t xml:space="preserve">Variante : Sortie conjointe proportionnelle</w:t>
      </w:r>
    </w:p>
    <w:p>
      <w:pPr>
        <w:pStyle w:val="Corps"/>
      </w:pPr>
      <w:r>
        <w:t xml:space="preserve">En cas d'offre atteignant [Seuil déclenchant le droit de suite], les bénéficiaires peuvent céder une quote-part selon [Répartition du droit de suite] aux mêmes conditions. Les bénéficiaires reçoivent le même prix par titre de même catégorie et ne donnent que des garanties proportionnelles à leur prix, sans solidarité ni garantie d'activité non acceptée.</w:t>
      </w:r>
    </w:p>
    <w:p>
      <w:pPr>
        <w:pStyle w:val="Variante"/>
      </w:pPr>
      <w:r>
        <w:t xml:space="preserve">Variante : Sortie conjointe totale</w:t>
      </w:r>
    </w:p>
    <w:p>
      <w:pPr>
        <w:pStyle w:val="Corps"/>
      </w:pPr>
      <w:r>
        <w:t xml:space="preserve">En cas d'offre atteignant [Seuil déclenchant le droit de suite], les bénéficiaires peuvent céder la totalité de leurs titres selon [Conditions de sortie totale]. Élection, remise des actes et paiement sont coordonnés; si l'acquéreur refuse les titres valablement présentés, l'initiateur suspend ou réduit sa propre cession selon le mécanisme convenu.</w:t>
      </w:r>
    </w:p>
    <w:p>
      <w:pPr>
        <w:pStyle w:val="Intertitre"/>
      </w:pPr>
      <w:r>
        <w:t xml:space="preserve">Clause optionnelle : Sortie forcée</w:t>
      </w:r>
    </w:p>
    <w:p>
      <w:pPr>
        <w:pStyle w:val="Corps"/>
      </w:pPr>
      <w:r>
        <w:t xml:space="preserve">Une offre atteignant [Seuil de sortie forcée] peut déclencher la sortie forcée selon [Procédure de sortie forcée]. Aucune modification défavorable n'intervient après notification sans nouvelle procédure; l'abandon de l'opération libère les titres mais maintient confidentialité et responsabilité pour manquement antérieur.</w:t>
      </w:r>
    </w:p>
    <w:p>
      <w:pPr>
        <w:pStyle w:val="Intertitre"/>
      </w:pPr>
      <w:r>
        <w:t xml:space="preserve">Clause optionnelle : Conditions de la sortie forcée</w:t>
      </w:r>
    </w:p>
    <w:p>
      <w:pPr>
        <w:pStyle w:val="Corps"/>
      </w:pPr>
      <w:r>
        <w:t xml:space="preserve">La sortie forcée respecte [Règles de prix de sortie], l'égalité de traitement économique et [Répartition des garanties de cession]. L'offre qualifiée identifie acquéreur, périmètre, prix, financement, conditions et calendrier; une manifestation d'intérêt ou une offre soumise à renégociation ne déclenche pas la sortie.</w:t>
      </w:r>
    </w:p>
    <w:p>
      <w:pPr>
        <w:pStyle w:val="Intertitre"/>
      </w:pPr>
      <w:r>
        <w:t xml:space="preserve">Processus de vente</w:t>
      </w:r>
    </w:p>
    <w:p>
      <w:pPr>
        <w:pStyle w:val="Corps"/>
      </w:pPr>
      <w:r>
        <w:t xml:space="preserve">Le mandat, l'information, les offres, l'exclusivité et la sélection d'un acquéreur suivent [Organisation du processus de vente]. Les bénéficiaires reçoivent le même prix par titre de même catégorie et ne donnent que des garanties proportionnelles à leur prix, sans solidarité ni garantie d'activité non acceptée.</w:t>
      </w:r>
    </w:p>
    <w:p>
      <w:pPr>
        <w:pStyle w:val="Intertitre"/>
      </w:pPr>
      <w:r>
        <w:t xml:space="preserve">Garanties lors d'une sortie</w:t>
      </w:r>
    </w:p>
    <w:p>
      <w:pPr>
        <w:pStyle w:val="Corps"/>
      </w:pPr>
      <w:r>
        <w:t xml:space="preserve">Les garanties données à un acquéreur sont réparties selon [Répartition des garanties de cession] et ne peuvent imposer à un cédant une responsabilité disproportionnée à son produit de cession.</w:t>
      </w:r>
    </w:p>
    <w:p>
      <w:pPr>
        <w:pStyle w:val="Intertitre"/>
      </w:pPr>
      <w:r>
        <w:t xml:space="preserve">Clause optionnelle : Introduction en bourse</w:t>
      </w:r>
    </w:p>
    <w:p>
      <w:pPr>
        <w:pStyle w:val="Corps"/>
      </w:pPr>
      <w:r>
        <w:t xml:space="preserve">La préparation, les restrictions de cession et la coopération en cas d'introduction suivent [Organisation d'une introduction en bourse]. Élection, remise des actes et paiement sont coordonnés; si l'acquéreur refuse les titres valablement présentés, l'initiateur suspend ou réduit sa propre cession selon le mécanisme convenu.</w:t>
      </w:r>
    </w:p>
    <w:p>
      <w:pPr>
        <w:pStyle w:val="Intertitre"/>
      </w:pPr>
      <w:r>
        <w:t xml:space="preserve">Définition du blocage</w:t>
      </w:r>
    </w:p>
    <w:p>
      <w:pPr>
        <w:pStyle w:val="Corps"/>
      </w:pPr>
      <w:r>
        <w:t xml:space="preserve">Constitue un blocage la situation répondant à [Définition du blocage] après accomplissement des étapes de décision ordinaires. Le blocage suppose des décisions identifiées, des votes réguliers et un échec persistant après escalade; une simple divergence opérationnelle ou une absence organisée ne suffit pas.</w:t>
      </w:r>
    </w:p>
    <w:p>
      <w:pPr>
        <w:pStyle w:val="Intertitre"/>
      </w:pPr>
      <w:r>
        <w:t xml:space="preserve">Escalade</w:t>
      </w:r>
    </w:p>
    <w:p>
      <w:pPr>
        <w:pStyle w:val="Corps"/>
      </w:pPr>
      <w:r>
        <w:t xml:space="preserve">Le blocage est soumis à [Personnes chargées de l'escalade] selon [Calendrier d'escalade]. Cette stipulation s'applique avec les autres décisions et annexes de l'opération, dans le périmètre expressément arrêté par les parties.</w:t>
      </w:r>
    </w:p>
    <w:p>
      <w:pPr>
        <w:pStyle w:val="Intertitre"/>
      </w:pPr>
      <w:r>
        <w:t xml:space="preserve"> — choisir une seule variante</w:t>
      </w:r>
    </w:p>
    <w:p>
      <w:pPr>
        <w:pStyle w:val="Variante"/>
      </w:pPr>
      <w:r>
        <w:t xml:space="preserve">Variante : Escalade sans mécanisme de sortie automatique</w:t>
      </w:r>
    </w:p>
    <w:p>
      <w:pPr>
        <w:pStyle w:val="Corps"/>
      </w:pPr>
      <w:r>
        <w:t xml:space="preserve">À défaut d'accord après l'escalade, aucune cession forcée automatique n'est déclenchée. La procédure fixe déclenchement, personnes, délais, informations, financement et continuité; elle interdit toute manipulation du prix, des enchères ou des besoins de trésorerie.</w:t>
      </w:r>
    </w:p>
    <w:p>
      <w:pPr>
        <w:pStyle w:val="Variante"/>
      </w:pPr>
      <w:r>
        <w:t xml:space="preserve">Variante : Médiation puis processus de vente</w:t>
      </w:r>
    </w:p>
    <w:p>
      <w:pPr>
        <w:pStyle w:val="Corps"/>
      </w:pPr>
      <w:r>
        <w:t xml:space="preserve">Le différend est soumis à [Procédure de médiation] puis, à défaut d'accord, à [Vente déclenchée par blocage]. Les mécanismes de sortie sont exclusifs selon l'option retenue et protègent la société pendant leur exécution; aucune dissolution ou cession n'est réputée automatique.</w:t>
      </w:r>
    </w:p>
    <w:p>
      <w:pPr>
        <w:pStyle w:val="Variante"/>
      </w:pPr>
      <w:r>
        <w:t xml:space="preserve">Variante : Russian roulette</w:t>
      </w:r>
    </w:p>
    <w:p>
      <w:pPr>
        <w:pStyle w:val="Corps"/>
      </w:pPr>
      <w:r>
        <w:t xml:space="preserve">La partie initiatrice adresse [Notification buy-sell] selon [Procédure Russian roulette] et [Prix ou formule buy-sell] ; le destinataire choisit irrévocablement entre acheter et vendre aux mêmes conditions.</w:t>
      </w:r>
    </w:p>
    <w:p>
      <w:pPr>
        <w:pStyle w:val="Variante"/>
      </w:pPr>
      <w:r>
        <w:t xml:space="preserve">Variante : Texas shoot-out</w:t>
      </w:r>
    </w:p>
    <w:p>
      <w:pPr>
        <w:pStyle w:val="Corps"/>
      </w:pPr>
      <w:r>
        <w:t xml:space="preserve">Les parties présentent leurs offres selon [Procédure Texas shoot-out] ; l'offre retenue détermine l'acheteur et le prix selon la règle convenue. Les questions techniques peuvent être confiées à un expert sans lui permettre de trancher un choix stratégique; sa mission, ses pièces, frais et portée sont définis contradictoirement.</w:t>
      </w:r>
    </w:p>
    <w:p>
      <w:pPr>
        <w:pStyle w:val="Variante"/>
      </w:pPr>
      <w:r>
        <w:t xml:space="preserve">Variante : Offres sous pli</w:t>
      </w:r>
    </w:p>
    <w:p>
      <w:pPr>
        <w:pStyle w:val="Corps"/>
      </w:pPr>
      <w:r>
        <w:t xml:space="preserve">Les offres sont remises et départagées selon [Procédure d'offres sous pli]. Le blocage suppose des décisions identifiées, des votes réguliers et un échec persistant après escalade; une simple divergence opérationnelle ou une absence organisée ne suffit pas.</w:t>
      </w:r>
    </w:p>
    <w:p>
      <w:pPr>
        <w:pStyle w:val="Variante"/>
      </w:pPr>
      <w:r>
        <w:t xml:space="preserve">Variante : Options de vente et d'achat</w:t>
      </w:r>
    </w:p>
    <w:p>
      <w:pPr>
        <w:pStyle w:val="Corps"/>
      </w:pPr>
      <w:r>
        <w:t xml:space="preserve">Les options sont exercées selon [Procédure put/call] et un prix déterminable selon [Prix ou formule buy-sell]. La procédure fixe déclenchement, personnes, délais, informations, financement et continuité; elle interdit toute manipulation du prix, des enchères ou des besoins de trésorerie.</w:t>
      </w:r>
    </w:p>
    <w:p>
      <w:pPr>
        <w:pStyle w:val="Intertitre"/>
      </w:pPr>
      <w:r>
        <w:t xml:space="preserve">Expertise des questions techniques</w:t>
      </w:r>
    </w:p>
    <w:p>
      <w:pPr>
        <w:pStyle w:val="Corps"/>
      </w:pPr>
      <w:r>
        <w:t xml:space="preserve">Les seules questions [Questions soumises à expert] sont soumises à [Procédure d'expertise] sans confier à l'expert les décisions stratégiques des parties. Les mécanismes de sortie sont exclusifs selon l'option retenue et protègent la société pendant leur exécution; aucune dissolution ou cession n'est réputée automatique.</w:t>
      </w:r>
    </w:p>
    <w:p>
      <w:pPr>
        <w:pStyle w:val="Intertitre"/>
      </w:pPr>
      <w:r>
        <w:t xml:space="preserve">Continuité pendant le blocage</w:t>
      </w:r>
    </w:p>
    <w:p>
      <w:pPr>
        <w:pStyle w:val="Corps"/>
      </w:pPr>
      <w:r>
        <w:t xml:space="preserve">Pendant la procédure, les parties appliquent [Mesures de continuité pendant le blocage]. Les questions techniques peuvent être confiées à un expert sans lui permettre de trancher un choix stratégique; sa mission, ses pièces, frais et portée sont définis contradictoirement.</w:t>
      </w:r>
    </w:p>
    <w:p>
      <w:pPr>
        <w:pStyle w:val="Intertitre"/>
      </w:pPr>
      <w:r>
        <w:t xml:space="preserve">Mesures urgentes</w:t>
      </w:r>
    </w:p>
    <w:p>
      <w:pPr>
        <w:pStyle w:val="Corps"/>
      </w:pPr>
      <w:r>
        <w:t xml:space="preserve">Les décisions urgentes nécessaires à la préservation de la Société suivent [Décisions urgentes pendant le blocage] sans modifier durablement l'équilibre du pacte. Le blocage suppose des décisions identifiées, des votes réguliers et un échec persistant après escalade; une simple divergence opérationnelle ou une absence organisée ne suffit pas.</w:t>
      </w:r>
    </w:p>
    <w:p>
      <w:pPr>
        <w:pStyle w:val="Intertitre"/>
      </w:pPr>
      <w:r>
        <w:t xml:space="preserve">Clause optionnelle : Titres des dirigeants et salariés</w:t>
      </w:r>
    </w:p>
    <w:p>
      <w:pPr>
        <w:pStyle w:val="Corps"/>
      </w:pPr>
      <w:r>
        <w:t xml:space="preserve">Les détenteurs concernés sont [Dirigeants et salariés détenteurs] et leurs titres sont soumis à [Acquisition progressive des titres]. L'événement, sa date, les pièces, la procédure contradictoire, l'organe de qualification et la formule de prix sont distingués; aucune catégorie leaver n'est déduite d'une allégation non vérifiée.</w:t>
      </w:r>
    </w:p>
    <w:p>
      <w:pPr>
        <w:pStyle w:val="Intertitre"/>
      </w:pPr>
      <w:r>
        <w:t xml:space="preserve">Clause optionnelle : Good Leaver</w:t>
      </w:r>
    </w:p>
    <w:p>
      <w:pPr>
        <w:pStyle w:val="Corps"/>
      </w:pPr>
      <w:r>
        <w:t xml:space="preserve">Les événements [Événements Good Leaver] ouvrent la route Good Leaver selon les règles de prix convenues. Les titres concernés, leur acquisition, leur prix, le calendrier et le paiement sont déterminables sans nouvel accord; toute décote est appliquée une seule fois à une valeur de référence définie.</w:t>
      </w:r>
    </w:p>
    <w:p>
      <w:pPr>
        <w:pStyle w:val="Intertitre"/>
      </w:pPr>
      <w:r>
        <w:t xml:space="preserve">Clause optionnelle : Bad Leaver</w:t>
      </w:r>
    </w:p>
    <w:p>
      <w:pPr>
        <w:pStyle w:val="Corps"/>
      </w:pPr>
      <w:r>
        <w:t xml:space="preserve">Les événements [Événements Bad Leaver] ouvrent la route Bad Leaver sans étendre cette qualification au-delà des cas expressément listés. La qualification respecte les conflits d'intérêts et donne au détenteur accès aux griefs et un délai pour répondre; la décision motivée est datée et notifiée.</w:t>
      </w:r>
    </w:p>
    <w:p>
      <w:pPr>
        <w:pStyle w:val="Intertitre"/>
      </w:pPr>
      <w:r>
        <w:t xml:space="preserve">Clause optionnelle : Intermediate Leaver</w:t>
      </w:r>
    </w:p>
    <w:p>
      <w:pPr>
        <w:pStyle w:val="Corps"/>
      </w:pPr>
      <w:r>
        <w:t xml:space="preserve">Les événements [Événements Intermediate Leaver] relèvent d'un traitement intermédiaire distinct. Les obligations liées aux titres de dirigeants ou salariés restent distinctes du contrat de travail ou du mandat social et ne créent aucune renonciation à une règle impérative.</w:t>
      </w:r>
    </w:p>
    <w:p>
      <w:pPr>
        <w:pStyle w:val="Intertitre"/>
      </w:pPr>
      <w:r>
        <w:t xml:space="preserve">Clause optionnelle : Valorisation du départ</w:t>
      </w:r>
    </w:p>
    <w:p>
      <w:pPr>
        <w:pStyle w:val="Corps"/>
      </w:pPr>
      <w:r>
        <w:t xml:space="preserve">Le prix des titres du partant est déterminé selon [Valorisation des titres du partant] et, lorsque la loi ou les statuts y renvoient, selon l'article 1843-4.</w:t>
      </w:r>
    </w:p>
    <w:p>
      <w:pPr>
        <w:pStyle w:val="Intertitre"/>
      </w:pPr>
      <w:r>
        <w:t xml:space="preserve">Clause optionnelle : Paiement du prix de départ</w:t>
      </w:r>
    </w:p>
    <w:p>
      <w:pPr>
        <w:pStyle w:val="Corps"/>
      </w:pPr>
      <w:r>
        <w:t xml:space="preserve">Le paiement intervient selon [Paiement du prix de sortie]. Cette stipulation s'applique avec les autres décisions et annexes de l'opération, dans le périmètre expressément arrêté par les parties.</w:t>
      </w:r>
    </w:p>
    <w:p>
      <w:pPr>
        <w:pStyle w:val="Intertitre"/>
      </w:pPr>
      <w:r>
        <w:t xml:space="preserve">Clause optionnelle : Non-concurrence</w:t>
      </w:r>
    </w:p>
    <w:p>
      <w:pPr>
        <w:pStyle w:val="Corps"/>
      </w:pPr>
      <w:r>
        <w:t xml:space="preserve">L'obligation vise [Activités visées par la non-concurrence] sur [Territoire de non-concurrence] pendant [Durée de non-concurrence] et demeure limitée à ce qui est nécessaire à la protection des intérêts légitimes convenus.</w:t>
      </w:r>
    </w:p>
    <w:p>
      <w:pPr>
        <w:pStyle w:val="Intertitre"/>
      </w:pPr>
      <w:r>
        <w:t xml:space="preserve">Clause optionnelle : Non-sollicitation</w:t>
      </w:r>
    </w:p>
    <w:p>
      <w:pPr>
        <w:pStyle w:val="Corps"/>
      </w:pPr>
      <w:r>
        <w:t xml:space="preserve">L'obligation porte sur [Champ de non-sollicitation] pendant [Durée de non-sollicitation]. Cette stipulation s'applique avec les autres décisions et annexes de l'opération, dans le périmètre expressément arrêté par les parties.</w:t>
      </w:r>
    </w:p>
    <w:p>
      <w:pPr>
        <w:pStyle w:val="Intertitre"/>
      </w:pPr>
      <w:r>
        <w:t xml:space="preserve">Confidentialité</w:t>
      </w:r>
    </w:p>
    <w:p>
      <w:pPr>
        <w:pStyle w:val="Corps"/>
      </w:pPr>
      <w:r>
        <w:t xml:space="preserve">Les parties protègent [Informations confidentielles] sous réserve de [Divulgations autorisées]. Les informations protégées, exceptions, destinataires autorisés, sécurité, restitution et durée sont définis; une divulgation légalement requise est limitée et notifiée lorsque la loi le permet.</w:t>
      </w:r>
    </w:p>
    <w:p>
      <w:pPr>
        <w:pStyle w:val="Intertitre"/>
      </w:pPr>
      <w:r>
        <w:t xml:space="preserve">Clause optionnelle : Non-dénigrement</w:t>
      </w:r>
    </w:p>
    <w:p>
      <w:pPr>
        <w:pStyle w:val="Corps"/>
      </w:pPr>
      <w:r>
        <w:t xml:space="preserve">Les parties respectent [Engagement de non-dénigrement]. Cette stipulation s'applique avec les autres décisions et annexes de l'opération, dans le périmètre expressément arrêté par les parties.</w:t>
      </w:r>
    </w:p>
    <w:p>
      <w:pPr>
        <w:pStyle w:val="Intertitre"/>
      </w:pPr>
      <w:r>
        <w:t xml:space="preserve">Durée</w:t>
      </w:r>
    </w:p>
    <w:p>
      <w:pPr>
        <w:pStyle w:val="Corps"/>
      </w:pPr>
      <w:r>
        <w:t xml:space="preserve">Le pacte s'applique pendant [Durée du pacte]. Cette stipulation s'applique avec les autres décisions et annexes de l'opération, dans le périmètre expressément arrêté par les parties.</w:t>
      </w:r>
    </w:p>
    <w:p>
      <w:pPr>
        <w:pStyle w:val="Intertitre"/>
      </w:pPr>
      <w:r>
        <w:t xml:space="preserve">Fin du pacte</w:t>
      </w:r>
    </w:p>
    <w:p>
      <w:pPr>
        <w:pStyle w:val="Corps"/>
      </w:pPr>
      <w:r>
        <w:t xml:space="preserve">Le pacte prend fin dans les cas [Événements de fin] sans effacer [Clauses survivant à la fin]. La mise en œuvre exige une notification traçable, le délai de remède prévu et une mesure proportionnée; exécution, résolution, pénalité et dommages ne réparent pas deux fois le même préjudice.</w:t>
      </w:r>
    </w:p>
    <w:p>
      <w:pPr>
        <w:pStyle w:val="Intertitre"/>
      </w:pPr>
      <w:r>
        <w:t xml:space="preserve">Sanctions de l'inexécution</w:t>
      </w:r>
    </w:p>
    <w:p>
      <w:pPr>
        <w:pStyle w:val="Corps"/>
      </w:pPr>
      <w:r>
        <w:t xml:space="preserve">L'inexécution ouvre les recours [Sanctions de l'inexécution] dans les limites de la loi et sans automaticité non convenue. La clause précise les droits survivants, les actes restant à exécuter et le sort des procédures en cours; la fin du pacte n'efface pas prix, garantie, confidentialité ou responsabilité déjà nés.</w:t>
      </w:r>
    </w:p>
    <w:p>
      <w:pPr>
        <w:pStyle w:val="Intertitre"/>
      </w:pPr>
      <w:r>
        <w:t xml:space="preserve">Exécution en nature</w:t>
      </w:r>
    </w:p>
    <w:p>
      <w:pPr>
        <w:pStyle w:val="Corps"/>
      </w:pPr>
      <w:r>
        <w:t xml:space="preserve">Les parties peuvent demander l'exécution des obligations relevant de [Obligations susceptibles d'exécution forcée] lorsqu'elle est juridiquement possible. Toute modification ou renonciation est écrite, limitée à son objet et signée selon la majorité contractuelle; une tolérance ponctuelle ne modifie ni le pacte ni une opération future.</w:t>
      </w:r>
    </w:p>
    <w:p>
      <w:pPr>
        <w:pStyle w:val="Intertitre"/>
      </w:pPr>
      <w:r>
        <w:t xml:space="preserve">Clause optionnelle : Clause pénale</w:t>
      </w:r>
    </w:p>
    <w:p>
      <w:pPr>
        <w:pStyle w:val="Corps"/>
      </w:pPr>
      <w:r>
        <w:t xml:space="preserve">Le manquement [Fait déclenchant la pénalité] entraîne la pénalité calculée selon [Montant ou formule de pénalité], sous réserve du pouvoir du juge. La stipulation est appliquée sous réserve des règles impératives, de la compétence juridictionnelle et des droits des tiers; une invalidité partielle n'autorise pas à réécrire l'équilibre économique.</w:t>
      </w:r>
    </w:p>
    <w:p>
      <w:pPr>
        <w:pStyle w:val="Intertitre"/>
      </w:pPr>
      <w:r>
        <w:t xml:space="preserve">Notifications</w:t>
      </w:r>
    </w:p>
    <w:p>
      <w:pPr>
        <w:pStyle w:val="Corps"/>
      </w:pPr>
      <w:r>
        <w:t xml:space="preserve">Les notifications sont adressées selon [Adresses et canaux de notification] par un moyen permettant d'établir leur réception. La mise en œuvre exige une notification traçable, le délai de remède prévu et une mesure proportionnée; exécution, résolution, pénalité et dommages ne réparent pas deux fois le même préjudice.</w:t>
      </w:r>
    </w:p>
    <w:p>
      <w:pPr>
        <w:pStyle w:val="Intertitre"/>
      </w:pPr>
      <w:r>
        <w:t xml:space="preserve">Cession du pacte</w:t>
      </w:r>
    </w:p>
    <w:p>
      <w:pPr>
        <w:pStyle w:val="Corps"/>
      </w:pPr>
      <w:r>
        <w:t xml:space="preserve">La cession des droits et obligations suit [Cession du pacte] et ne dispense pas de l'adhésion attachée aux titres. La clause précise les droits survivants, les actes restant à exécuter et le sort des procédures en cours; la fin du pacte n'efface pas prix, garantie, confidentialité ou responsabilité déjà nés.</w:t>
      </w:r>
    </w:p>
    <w:p>
      <w:pPr>
        <w:pStyle w:val="Intertitre"/>
      </w:pPr>
      <w:r>
        <w:t xml:space="preserve">Absence de renonciation implicite</w:t>
      </w:r>
    </w:p>
    <w:p>
      <w:pPr>
        <w:pStyle w:val="Corps"/>
      </w:pPr>
      <w:r>
        <w:t xml:space="preserve">Une tolérance ou abstention ponctuelle ne vaut pas renonciation générale. Toute modification ou renonciation est écrite, limitée à son objet et signée selon la majorité contractuelle; une tolérance ponctuelle ne modifie ni le pacte ni une opération future.</w:t>
      </w:r>
    </w:p>
    <w:p>
      <w:pPr>
        <w:pStyle w:val="Intertitre"/>
      </w:pPr>
      <w:r>
        <w:t xml:space="preserve">Divisibilité</w:t>
      </w:r>
    </w:p>
    <w:p>
      <w:pPr>
        <w:pStyle w:val="Corps"/>
      </w:pPr>
      <w:r>
        <w:t xml:space="preserve">L'inefficacité d'une stipulation n'affecte pas les autres ; les parties recherchent une stipulation licite d'effet économique voisin. La stipulation est appliquée sous réserve des règles impératives, de la compétence juridictionnelle et des droits des tiers; une invalidité partielle n'autorise pas à réécrire l'équilibre économique.</w:t>
      </w:r>
    </w:p>
    <w:p>
      <w:pPr>
        <w:pStyle w:val="Intertitre"/>
      </w:pPr>
      <w:r>
        <w:t xml:space="preserve">Modifications</w:t>
      </w:r>
    </w:p>
    <w:p>
      <w:pPr>
        <w:pStyle w:val="Corps"/>
      </w:pPr>
      <w:r>
        <w:t xml:space="preserve">Toute modification respecte [Modification du pacte] et l'accord des parties dont les droits sont affectés. La mise en œuvre exige une notification traçable, le délai de remède prévu et une mesure proportionnée; exécution, résolution, pénalité et dommages ne réparent pas deux fois le même préjudice.</w:t>
      </w:r>
    </w:p>
    <w:p>
      <w:pPr>
        <w:pStyle w:val="Intertitre"/>
      </w:pPr>
      <w:r>
        <w:t xml:space="preserve">Frais</w:t>
      </w:r>
    </w:p>
    <w:p>
      <w:pPr>
        <w:pStyle w:val="Corps"/>
      </w:pPr>
      <w:r>
        <w:t xml:space="preserve">Les frais sont répartis selon [Répartition des frais]. Cette stipulation s'applique avec les autres décisions et annexes de l'opération, dans le périmètre expressément arrêté par les parties.</w:t>
      </w:r>
    </w:p>
    <w:p>
      <w:pPr>
        <w:pStyle w:val="Intertitre"/>
      </w:pPr>
      <w:r>
        <w:t xml:space="preserve">Loi applicable et juridiction</w:t>
      </w:r>
    </w:p>
    <w:p>
      <w:pPr>
        <w:pStyle w:val="Corps"/>
      </w:pPr>
      <w:r>
        <w:t xml:space="preserve">Le pacte est régi par [Loi applicable] et les différends relèvent de [Juridiction compétente] après vérification de cette désignation. La clause précise les droits survivants, les actes restant à exécuter et le sort des procédures en cours; la fin du pacte n'efface pas prix, garantie, confidentialité ou responsabilité déjà nés.</w:t>
      </w:r>
    </w:p>
    <w:p>
      <w:pPr>
        <w:pStyle w:val="Intertitre"/>
      </w:pPr>
      <w:r>
        <w:t xml:space="preserve">Inventaire des annexes</w:t>
      </w:r>
    </w:p>
    <w:p>
      <w:pPr>
        <w:pStyle w:val="Corps"/>
      </w:pPr>
      <w:r>
        <w:t xml:space="preserve">Les annexes sont recensées dans [Inventaire des annexes]. Cette annexe est identifiée, datée et rattachée au présent acte, dont elle fait partie intégrante. L'annexe est numérotée, datée, figée et rapprochée des clauses qui l'utilisent; toute divergence avec registres, statuts, décisions ou pacte bloque la signature ou impose une mise à jour approuvée.</w:t>
      </w:r>
    </w:p>
    <w:p>
      <w:pPr>
        <w:pStyle w:val="Intertitre"/>
      </w:pPr>
      <w:r>
        <w:t xml:space="preserve">Annexe — Table de capitalisation</w:t>
      </w:r>
    </w:p>
    <w:p>
      <w:pPr>
        <w:pStyle w:val="Corps"/>
      </w:pPr>
      <w:r>
        <w:t xml:space="preserve">La table [Table de capitalisation et droits de vote] est annexée. Cette annexe est identifiée, datée et rattachée au présent acte, dont elle fait partie intégrante. Les tableaux indiquent source, date, auteur et version et ne contiennent aucune valeur de démonstration; les modifications postérieures suivent la procédure contractuelle correspondante.</w:t>
      </w:r>
    </w:p>
    <w:p>
      <w:pPr>
        <w:pStyle w:val="Intertitre"/>
      </w:pPr>
      <w:r>
        <w:t xml:space="preserve">Clause optionnelle : Annexe — Décisions réservées</w:t>
      </w:r>
    </w:p>
    <w:p>
      <w:pPr>
        <w:pStyle w:val="Corps"/>
      </w:pPr>
      <w:r>
        <w:t xml:space="preserve">La liste [Liste des décisions réservées] est annexée. Cette annexe est identifiée, datée et rattachée au présent acte, dont elle fait partie intégrante. Chaque pièce distingue données déclarées, vérifiées et restant à confirmer; une annexe future ou incomplète n'est jamais présentée comme déjà signée ou opposable.</w:t>
      </w:r>
    </w:p>
    <w:p>
      <w:pPr>
        <w:pStyle w:val="Intertitre"/>
      </w:pPr>
      <w:r>
        <w:t xml:space="preserve">Signatures</w:t>
      </w:r>
    </w:p>
    <w:p>
      <w:pPr>
        <w:pStyle w:val="Corps"/>
      </w:pPr>
      <w:r>
        <w:t xml:space="preserve">Fait à [Lieu de signature] le [Date de signature] par [Signataires habilités]. La signature est apposée après vérification de l'identité, de la qualité et des pouvoirs de chaque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