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PROMESSE SYNALLAGMATIQUE DE CESSION DE TITRES</w:t>
      </w:r>
    </w:p>
    <w:p>
      <w:pPr>
        <w:pStyle w:val="Intertitre"/>
      </w:pPr>
      <w:r>
        <w:t xml:space="preserve">Vendeur et acquéreur</w:t>
      </w:r>
    </w:p>
    <w:p>
      <w:pPr>
        <w:pStyle w:val="Corps"/>
      </w:pPr>
      <w:r>
        <w:t xml:space="preserve">La promesse est conclue entre [Nom du vendeur], agissant en qualité de [Qualité du vendeur ou du cédant], en qualité de vendeur, et [Nom de l'acheteur], agissant en qualité de [Qualité du cessionnaire], en qualité d'acquéreur. Leur identité et leurs pouvoirs ressortent de [Preuve d'identité].</w:t>
      </w:r>
    </w:p>
    <w:p>
      <w:pPr>
        <w:pStyle w:val="Intertitre"/>
      </w:pPr>
      <w:r>
        <w:t xml:space="preserve">Capacité et pouvoirs</w:t>
      </w:r>
    </w:p>
    <w:p>
      <w:pPr>
        <w:pStyle w:val="Corps"/>
      </w:pPr>
      <w:r>
        <w:t xml:space="preserve">Chaque partie déclare disposer de la capacité et des pouvoirs nécessaires pour souscrire les engagements réciproques, exécuter les conditions placées sous son contrôle et signer les actes de réalisation.</w:t>
      </w:r>
    </w:p>
    <w:p>
      <w:pPr>
        <w:pStyle w:val="Intertitre"/>
      </w:pPr>
      <w:r>
        <w:t xml:space="preserve">Volonté de s'engager</w:t>
      </w:r>
    </w:p>
    <w:p>
      <w:pPr>
        <w:pStyle w:val="Corps"/>
      </w:pPr>
      <w:r>
        <w:t xml:space="preserve">Les parties déclarent que le présent acte constate leurs obligations fermes de vendre et d'acquérir. Il ne constitue ni une lettre d'intention, ni un cadre de négociation restant soumis à un nouvel accord sur ses éléments essentiels.</w:t>
      </w:r>
    </w:p>
    <w:p>
      <w:pPr>
        <w:pStyle w:val="Intertitre"/>
      </w:pPr>
      <w:r>
        <w:t xml:space="preserve">Société concernée</w:t>
      </w:r>
    </w:p>
    <w:p>
      <w:pPr>
        <w:pStyle w:val="Corps"/>
      </w:pPr>
      <w:r>
        <w:t xml:space="preserve">Les titres ont été émis par [Dénomination de la société cible], constituée sous la forme [Forme juridique de la société cible], immatriculée sous [Cible d'enregistrement des entreprises] et exerçant l'activité [Activité cible].</w:t>
      </w:r>
    </w:p>
    <w:p>
      <w:pPr>
        <w:pStyle w:val="Intertitre"/>
      </w:pPr>
      <w:r>
        <w:t xml:space="preserve">Capital et détention</w:t>
      </w:r>
    </w:p>
    <w:p>
      <w:pPr>
        <w:pStyle w:val="Corps"/>
      </w:pPr>
      <w:r>
        <w:t xml:space="preserve">La répartition du capital et des droits figure dans [Tableau de capitalisation]. Elle est rapprochée des registres, comptes et actes sociaux afin de confirmer la détention du vendeur et les droits attachés aux titres.</w:t>
      </w:r>
    </w:p>
    <w:p>
      <w:pPr>
        <w:pStyle w:val="Intertitre"/>
      </w:pPr>
      <w:r>
        <w:t xml:space="preserve">Étendue de la cession — choisir une seule variante</w:t>
      </w:r>
    </w:p>
    <w:p>
      <w:pPr>
        <w:pStyle w:val="Variante"/>
      </w:pPr>
      <w:r>
        <w:t xml:space="preserve">Variante : Cession de la totalité des titres détenus</w:t>
      </w:r>
    </w:p>
    <w:p>
      <w:pPr>
        <w:pStyle w:val="Corps"/>
      </w:pPr>
      <w:r>
        <w:t xml:space="preserve">La cession porte sur la totalité des [Quantité de titres] titres de catégorie [Catégorie de titres] détenus par le vendeur, représentant [Pourcentage de propriété] des droits concernés et identifiés dans [Calendrier des valeurs mobilières].</w:t>
      </w:r>
    </w:p>
    <w:p>
      <w:pPr>
        <w:pStyle w:val="Variante"/>
      </w:pPr>
      <w:r>
        <w:t xml:space="preserve">Variante : Cession d'une partie des titres détenus</w:t>
      </w:r>
    </w:p>
    <w:p>
      <w:pPr>
        <w:pStyle w:val="Corps"/>
      </w:pPr>
      <w:r>
        <w:t xml:space="preserve">La cession porte sur [Quantité de titres] titres de catégorie [Catégorie de titres], représentant [Pourcentage de propriété] des droits concernés, sélectionnés et individualisés dans [Calendrier des valeurs mobilières] parmi ceux détenus par le vendeur.</w:t>
      </w:r>
    </w:p>
    <w:p>
      <w:pPr>
        <w:pStyle w:val="Intertitre"/>
      </w:pPr>
      <w:r>
        <w:t xml:space="preserve">Droits attachés aux titres</w:t>
      </w:r>
    </w:p>
    <w:p>
      <w:pPr>
        <w:pStyle w:val="Corps"/>
      </w:pPr>
      <w:r>
        <w:t xml:space="preserve">Les titres seront transmis avec les droits financiers et politiques qui leur sont attachés à la date de réalisation, sous réserve des distributions, opérations ou restrictions expressément retracées dans le calendrier des titres.</w:t>
      </w:r>
    </w:p>
    <w:p>
      <w:pPr>
        <w:pStyle w:val="Intertitre"/>
      </w:pPr>
      <w:r>
        <w:t xml:space="preserve">Engagements réciproques</w:t>
      </w:r>
    </w:p>
    <w:p>
      <w:pPr>
        <w:pStyle w:val="Corps"/>
      </w:pPr>
      <w:r>
        <w:t xml:space="preserve">Le vendeur s'oblige irrévocablement à céder et l'acquéreur s'oblige irrévocablement à acquérir les titres définis, au prix et selon les modalités convenus. Aucun des deux ne dispose d'une faculté unilatérale de retrait. Les obligations réciproques sont interdépendantes, sous la seule réserve des conditions suspensives et mécanismes de défaillance expressément prévus.</w:t>
      </w:r>
    </w:p>
    <w:p>
      <w:pPr>
        <w:pStyle w:val="Intertitre"/>
      </w:pPr>
      <w:r>
        <w:t xml:space="preserve">Effet obligatoire</w:t>
      </w:r>
    </w:p>
    <w:p>
      <w:pPr>
        <w:pStyle w:val="Corps"/>
      </w:pPr>
      <w:r>
        <w:t xml:space="preserve">L'accord réciproque porte sur les titres identifiés et le prix déterminé ou déterminable. Les parties reconnaissent la portée obligatoire de cet accord tout en organisant séparément la date et les opérations du transfert.</w:t>
      </w:r>
    </w:p>
    <w:p>
      <w:pPr>
        <w:pStyle w:val="Intertitre"/>
      </w:pPr>
      <w:r>
        <w:t xml:space="preserve">Report du transfert</w:t>
      </w:r>
    </w:p>
    <w:p>
      <w:pPr>
        <w:pStyle w:val="Corps"/>
      </w:pPr>
      <w:r>
        <w:t xml:space="preserve">Les parties conviennent que le transfert de propriété, des risques et des droits attachés aux titres interviendra à la réalisation, après accomplissement des conditions et des formalités propres aux titres, et non lors de la seule signature.</w:t>
      </w:r>
    </w:p>
    <w:p>
      <w:pPr>
        <w:pStyle w:val="Intertitre"/>
      </w:pPr>
      <w:r>
        <w:t xml:space="preserve">Indisponibilité du périmètre</w:t>
      </w:r>
    </w:p>
    <w:p>
      <w:pPr>
        <w:pStyle w:val="Corps"/>
      </w:pPr>
      <w:r>
        <w:t xml:space="preserve">Jusqu'à la réalisation ou l'extinction régulière de la promesse, le vendeur s'interdit de céder, promettre, apporter, nantir ou autrement rendre indisponibles les titres compris dans le périmètre.</w:t>
      </w:r>
    </w:p>
    <w:p>
      <w:pPr>
        <w:pStyle w:val="Intertitre"/>
      </w:pPr>
      <w:r>
        <w:t xml:space="preserve">Coopération</w:t>
      </w:r>
    </w:p>
    <w:p>
      <w:pPr>
        <w:pStyle w:val="Corps"/>
      </w:pPr>
      <w:r>
        <w:t xml:space="preserve">Chaque partie accomplit de bonne foi les démarches et remises placées sous son contrôle, obtient ses autorisations et s'abstient de tout acte destiné à empêcher la réalisation convenue.</w:t>
      </w:r>
    </w:p>
    <w:p>
      <w:pPr>
        <w:pStyle w:val="Intertitre"/>
      </w:pPr>
      <w:r>
        <w:t xml:space="preserve">Prix de base</w:t>
      </w:r>
    </w:p>
    <w:p>
      <w:pPr>
        <w:pStyle w:val="Corps"/>
      </w:pPr>
      <w:r>
        <w:t xml:space="preserve">Le prix de base est fixé selon [Prix de base] et [Méthode de valorisation] pour le périmètre exact des titres. Il est déterminé ou objectivement déterminable dès la signature et ne dépend d'aucun nouvel accord. Toute créance d'associé, dividende, dette ou actif traité séparément doit être identifié afin d'éviter qu'il soit implicitement compris dans le prix.</w:t>
      </w:r>
    </w:p>
    <w:p>
      <w:pPr>
        <w:pStyle w:val="Intertitre"/>
      </w:pPr>
      <w:r>
        <w:t xml:space="preserve">Paiement du prix</w:t>
      </w:r>
    </w:p>
    <w:p>
      <w:pPr>
        <w:pStyle w:val="Corps"/>
      </w:pPr>
      <w:r>
        <w:t xml:space="preserve">Le prix sera réglé selon [Modalités de paiement]. Le paiement exigible à la réalisation sera coordonné avec la remise des actes, justificatifs et instructions de transfert.</w:t>
      </w:r>
    </w:p>
    <w:p>
      <w:pPr>
        <w:pStyle w:val="Intertitre"/>
      </w:pPr>
      <w:r>
        <w:t xml:space="preserve">Versement avant réalisation — choisir une seule variante</w:t>
      </w:r>
    </w:p>
    <w:p>
      <w:pPr>
        <w:pStyle w:val="Variante"/>
      </w:pPr>
      <w:r>
        <w:t xml:space="preserve">Variante : Absence de versement avant réalisation</w:t>
      </w:r>
    </w:p>
    <w:p>
      <w:pPr>
        <w:pStyle w:val="Corps"/>
      </w:pPr>
      <w:r>
        <w:t xml:space="preserve">Aucune somme n'est exigible avant la réalisation. Le prix est payé selon les modalités prévues au closing et aucune remise antérieure, lettre d'intention ou dépense de préparation ne constitue un acompte, des arrhes ou une indemnité. Chaque partie supporte ses frais propres sauf stipulation expresse contraire.</w:t>
      </w:r>
    </w:p>
    <w:p>
      <w:pPr>
        <w:pStyle w:val="Variante"/>
      </w:pPr>
      <w:r>
        <w:t xml:space="preserve">Variante : Dépôt imputable avant réalisation</w:t>
      </w:r>
    </w:p>
    <w:p>
      <w:pPr>
        <w:pStyle w:val="Corps"/>
      </w:pPr>
      <w:r>
        <w:t xml:space="preserve">L'acquéreur verse [Montant du dépôt] selon [Sort du dépôt]. La somme est imputée sur le prix si la réalisation intervient. Son versement ne crée aucune faculté de dédit et son sort en cas de non-réalisation dépend de la cause identifiée, de la responsabilité de la partie concernée et des restitutions convenues.</w:t>
      </w:r>
    </w:p>
    <w:p>
      <w:pPr>
        <w:pStyle w:val="Variante"/>
      </w:pPr>
      <w:r>
        <w:t xml:space="preserve">Variante : Acompte sur le prix</w:t>
      </w:r>
    </w:p>
    <w:p>
      <w:pPr>
        <w:pStyle w:val="Corps"/>
      </w:pPr>
      <w:r>
        <w:t xml:space="preserve">La somme de [Montant du dépôt] constitue un acompte sur le prix de la cession déjà formée. Elle sera déduite du paiement final selon [Sort du dépôt]. En cas d'inexécution, son remboursement ou sa conservation ne remplace pas automatiquement les remèdes contractuels; les parties appliquent la procédure de défaillance et évitent toute double indemnisation.</w:t>
      </w:r>
    </w:p>
    <w:p>
      <w:pPr>
        <w:pStyle w:val="Variante"/>
      </w:pPr>
      <w:r>
        <w:t xml:space="preserve">Variante : Versement placé sous séquestre</w:t>
      </w:r>
    </w:p>
    <w:p>
      <w:pPr>
        <w:pStyle w:val="Corps"/>
      </w:pPr>
      <w:r>
        <w:t xml:space="preserve">La somme de [Montant du dépôt] est confiée à [Séquestre] selon [Libération du séquestre]. Le séquestre distingue libération au vendeur lors de la réalisation, restitution à l'acquéreur et maintien en cas de contestation. Aucune partie ne peut donner seule une instruction incompatible avec la convention de séquestre ou disposer des fonds avant le fait générateur prévu.</w:t>
      </w:r>
    </w:p>
    <w:p>
      <w:pPr>
        <w:pStyle w:val="Intertitre"/>
      </w:pPr>
      <w:r>
        <w:t xml:space="preserve">Clause optionnelle : Complément de prix</w:t>
      </w:r>
    </w:p>
    <w:p>
      <w:pPr>
        <w:pStyle w:val="Corps"/>
      </w:pPr>
      <w:r>
        <w:t xml:space="preserve">Le complément de prix est calculé d'après [Gagnez la métrique] selon [Formule de calcul des gains] pendant [Période de comptabilisation]. Les agrégats, méthodes comptables, opérations neutralisées et accès aux comptes sont définis de manière constante. Le vendeur reçoit le calcul et ses justificatifs, peut le contester selon [Obtenir le processus d'examen] et perçoit à l'échéance la fraction non contestée.</w:t>
      </w:r>
    </w:p>
    <w:p>
      <w:pPr>
        <w:pStyle w:val="Intertitre"/>
      </w:pPr>
      <w:r>
        <w:t xml:space="preserve">Clause optionnelle : Ajustement au titre de la dette nette</w:t>
      </w:r>
    </w:p>
    <w:p>
      <w:pPr>
        <w:pStyle w:val="Corps"/>
      </w:pPr>
      <w:r>
        <w:t xml:space="preserve">Le prix est ajusté à raison de la dette nette définie par [Définition de la dette nette]. Chaque poste est classé selon les règles convenues, sans double compte avec la trésorerie, le BFR ou les engagements déjà intégrés au prix. Les montants sont arrêtés à la date de référence à partir des comptes de réalisation et de justificatifs rapprochables.</w:t>
      </w:r>
    </w:p>
    <w:p>
      <w:pPr>
        <w:pStyle w:val="Intertitre"/>
      </w:pPr>
      <w:r>
        <w:t xml:space="preserve">Clause optionnelle : Ajustement du besoin en fonds de roulement</w:t>
      </w:r>
    </w:p>
    <w:p>
      <w:pPr>
        <w:pStyle w:val="Corps"/>
      </w:pPr>
      <w:r>
        <w:t xml:space="preserve">Le besoin en fonds de roulement constaté est comparé à [Cible de besoin en fonds de roulement]. La définition traite saisonnalité, créances douteuses, stocks, dettes échues, éléments exceptionnels et cohérence avec la dette nette. L'écart augmente ou diminue le prix selon la formule, sans modifier les méthodes comptables utilisées pour fixer la cible.</w:t>
      </w:r>
    </w:p>
    <w:p>
      <w:pPr>
        <w:pStyle w:val="Intertitre"/>
      </w:pPr>
      <w:r>
        <w:t xml:space="preserve">Clause optionnelle : Comptes de réalisation et formule d'ajustement</w:t>
      </w:r>
    </w:p>
    <w:p>
      <w:pPr>
        <w:pStyle w:val="Corps"/>
      </w:pPr>
      <w:r>
        <w:t xml:space="preserve">Les comptes sont établis selon [Comptes de référence] et l'ajustement résulte de [Formule d'ajustement]. Le préparateur communique calculs et pièces dans le calendrier convenu; l'autre partie formule une contestation motivée poste par poste. La fraction non contestée est réglée à l'échéance, sans rouvrir les éléments définitifs du prix.</w:t>
      </w:r>
    </w:p>
    <w:p>
      <w:pPr>
        <w:pStyle w:val="Intertitre"/>
      </w:pPr>
      <w:r>
        <w:t xml:space="preserve">Clause optionnelle : Expertise des désaccords de prix</w:t>
      </w:r>
    </w:p>
    <w:p>
      <w:pPr>
        <w:pStyle w:val="Corps"/>
      </w:pPr>
      <w:r>
        <w:t xml:space="preserve">Tout désaccord persistant sur l'ajustement suit [Expertise du prix]. L'expert statue dans les limites de la formule et des postes contestés, sur pièces contradictoires, sans modifier l'économie de l'opération. La clause précise sa désignation subsidiaire, ses délais, la répartition de ses frais et le caractère applicable de sa détermination.</w:t>
      </w:r>
    </w:p>
    <w:p>
      <w:pPr>
        <w:pStyle w:val="Intertitre"/>
      </w:pPr>
      <w:r>
        <w:t xml:space="preserve">Détermination définitive</w:t>
      </w:r>
    </w:p>
    <w:p>
      <w:pPr>
        <w:pStyle w:val="Corps"/>
      </w:pPr>
      <w:r>
        <w:t xml:space="preserve">Le prix de base et le complément éventuel reposent sur des données et formules objectives. Aucune partie ne peut les modifier unilatéralement ni subordonner leur calcul à un nouvel accord.</w:t>
      </w:r>
    </w:p>
    <w:p>
      <w:pPr>
        <w:pStyle w:val="Intertitre"/>
      </w:pPr>
      <w:r>
        <w:t xml:space="preserve">Conditions suspensives</w:t>
      </w:r>
    </w:p>
    <w:p>
      <w:pPr>
        <w:pStyle w:val="Corps"/>
      </w:pPr>
      <w:r>
        <w:t xml:space="preserve">Les conditions suspensives sont identifiées dans [Liste des conditions] et suivies selon [Procédure des conditions], avec pour chacune son bénéficiaire, la partie responsable des diligences, la preuve attendue, la date butoir et la faculté de renonciation. Aucune condition ne peut dépendre de la seule volonté de son débiteur; les parties coopèrent loyalement et documentent toute démarche, accomplissement, renonciation ou impossibilité.</w:t>
      </w:r>
    </w:p>
    <w:p>
      <w:pPr>
        <w:pStyle w:val="Intertitre"/>
      </w:pPr>
      <w:r>
        <w:t xml:space="preserve">Accomplissement des conditions</w:t>
      </w:r>
    </w:p>
    <w:p>
      <w:pPr>
        <w:pStyle w:val="Corps"/>
      </w:pPr>
      <w:r>
        <w:t xml:space="preserve">Chaque partie déploie les diligences convenues pour les conditions placées sous son contrôle et communique sans délai les décisions ou événements qui les satisfont, les rendent impossibles ou les font défaillir.</w:t>
      </w:r>
    </w:p>
    <w:p>
      <w:pPr>
        <w:pStyle w:val="Intertitre"/>
      </w:pPr>
      <w:r>
        <w:t xml:space="preserve">Défaillance d'une condition</w:t>
      </w:r>
    </w:p>
    <w:p>
      <w:pPr>
        <w:pStyle w:val="Corps"/>
      </w:pPr>
      <w:r>
        <w:t xml:space="preserve">À la date butoir, toute condition non accomplie et non valablement levée entraîne le sort prévu par [Sort de la condition défaillie]. Les parties distinguent caducité, prorogation écrite et renonciation par son seul bénéficiaire. La partie ayant empêché l'accomplissement ne peut invoquer sa propre obstruction; les restitutions interviennent sans préjuger des dommages dus pour une faute distincte.</w:t>
      </w:r>
    </w:p>
    <w:p>
      <w:pPr>
        <w:pStyle w:val="Intertitre"/>
      </w:pPr>
      <w:r>
        <w:t xml:space="preserve">Clause optionnelle : Condition d'approbation sociale</w:t>
      </w:r>
    </w:p>
    <w:p>
      <w:pPr>
        <w:pStyle w:val="Corps"/>
      </w:pPr>
      <w:r>
        <w:t xml:space="preserve">La réalisation est subordonnée à [Approbation sociale]. La partie responsable accomplit les convocations, notifications et demandes nécessaires puis communique la décision et sa preuve. Un refus, un ajournement ou une approbation modifiant le périmètre n'est pas assimilé à un accomplissement; la date butoir et la renonciation éventuelle restent celles convenues.</w:t>
      </w:r>
    </w:p>
    <w:p>
      <w:pPr>
        <w:pStyle w:val="Intertitre"/>
      </w:pPr>
      <w:r>
        <w:t xml:space="preserve">Clause optionnelle : Condition de consentement d'un tiers</w:t>
      </w:r>
    </w:p>
    <w:p>
      <w:pPr>
        <w:pStyle w:val="Corps"/>
      </w:pPr>
      <w:r>
        <w:t xml:space="preserve">Les consentements, renonciations ou mainlevées requis sont [Consentements de tiers]. Chaque preuve identifie le tiers, le droit purgé, les titres et l'absence de réserve incompatible. Le silence ne vaut consentement que si le texte ou l'acte applicable le prévoit expressément; une autorisation partielle est traitée selon la clause de non-réalisation.</w:t>
      </w:r>
    </w:p>
    <w:p>
      <w:pPr>
        <w:pStyle w:val="Intertitre"/>
      </w:pPr>
      <w:r>
        <w:t xml:space="preserve">Clause optionnelle : Condition de financement de l'acquéreur</w:t>
      </w:r>
    </w:p>
    <w:p>
      <w:pPr>
        <w:pStyle w:val="Corps"/>
      </w:pPr>
      <w:r>
        <w:t xml:space="preserve">L'acquéreur doit obtenir un financement répondant à [Financement de l'acquéreur]. Il accomplit les démarches convenues et en justifie sans révéler d'information non nécessaire. Une offre hors des limites objectives ne réalise pas la condition; toute renonciation est expresse et laisse intacte l'obligation de payer le prix à la réalisation.</w:t>
      </w:r>
    </w:p>
    <w:p>
      <w:pPr>
        <w:pStyle w:val="Intertitre"/>
      </w:pPr>
      <w:r>
        <w:t xml:space="preserve">Opérations réservées</w:t>
      </w:r>
    </w:p>
    <w:p>
      <w:pPr>
        <w:pStyle w:val="Corps"/>
      </w:pPr>
      <w:r>
        <w:t xml:space="preserve">Jusqu'à la réalisation, les opérations énumérées dans [Questions réservées] exigent l'accord écrit préalable de l'acquéreur. La demande expose objet, montant, urgence et incidence. Cet accord ne transfère ni la direction ni le contrôle avant réalisation; le refus ne doit pas être abusif face à une mesure indispensable à la continuité, et toute opération urgente est documentée sans délai.</w:t>
      </w:r>
    </w:p>
    <w:p>
      <w:pPr>
        <w:pStyle w:val="Intertitre"/>
      </w:pPr>
      <w:r>
        <w:t xml:space="preserve">Gestion dans le cours normal</w:t>
      </w:r>
    </w:p>
    <w:p>
      <w:pPr>
        <w:pStyle w:val="Corps"/>
      </w:pPr>
      <w:r>
        <w:t xml:space="preserve">Le vendeur exerce ses droits de manière à préserver la consistance des titres et veille, dans la limite de ses pouvoirs, à ce que la société poursuive son activité sans opération exceptionnelle non autorisée.</w:t>
      </w:r>
    </w:p>
    <w:p>
      <w:pPr>
        <w:pStyle w:val="Intertitre"/>
      </w:pPr>
      <w:r>
        <w:t xml:space="preserve">Information intercalaire</w:t>
      </w:r>
    </w:p>
    <w:p>
      <w:pPr>
        <w:pStyle w:val="Corps"/>
      </w:pPr>
      <w:r>
        <w:t xml:space="preserve">Le vendeur informe l'acquéreur de tout événement affectant les titres, les conditions, les déclarations ou la date de réalisation et lui transmet les justificatifs nécessaires à l'exécution du présent acte.</w:t>
      </w:r>
    </w:p>
    <w:p>
      <w:pPr>
        <w:pStyle w:val="Intertitre"/>
      </w:pPr>
      <w:r>
        <w:t xml:space="preserve">Propriété et disponibilité</w:t>
      </w:r>
    </w:p>
    <w:p>
      <w:pPr>
        <w:pStyle w:val="Corps"/>
      </w:pPr>
      <w:r>
        <w:t xml:space="preserve">Le vendeur déclare être titulaire du périmètre décrit dans [Calendrier des valeurs mobilières], pouvoir le céder et n'avoir omis aucune restriction ressortant des registres ou des pièces de détention communiquées.</w:t>
      </w:r>
    </w:p>
    <w:p>
      <w:pPr>
        <w:pStyle w:val="Intertitre"/>
      </w:pPr>
      <w:r>
        <w:t xml:space="preserve">Clause optionnelle : Garantie contractuelle du vendeur</w:t>
      </w:r>
    </w:p>
    <w:p>
      <w:pPr>
        <w:pStyle w:val="Corps"/>
      </w:pPr>
      <w:r>
        <w:t xml:space="preserve">Le vendeur consent les déclarations et garanties suivantes : [Déclarations de garantie]. Leur durée, seuils, plafonds et exclusions sont [Limites de garantie] ; toute réclamation suit [Procédure de traitement de la demande].</w:t>
      </w:r>
    </w:p>
    <w:p>
      <w:pPr>
        <w:pStyle w:val="Intertitre"/>
      </w:pPr>
      <w:r>
        <w:t xml:space="preserve">Clause optionnelle : Seuils, plafond et durée de la garantie</w:t>
      </w:r>
    </w:p>
    <w:p>
      <w:pPr>
        <w:pStyle w:val="Corps"/>
      </w:pPr>
      <w:r>
        <w:t xml:space="preserve">La garantie est soumise au seuil individuel [Seuil de réclamation], au panier [Panier de garantie], au plafond [Plafond de garantie] et à la durée [Durée de garantie]. Les garanties fondamentales, la fraude et les matières expressément exclues sont traitées séparément. Une réclamation notifiée à temps survit pour le seul grief identifié jusqu'à son règlement définitif.</w:t>
      </w:r>
    </w:p>
    <w:p>
      <w:pPr>
        <w:pStyle w:val="Intertitre"/>
      </w:pPr>
      <w:r>
        <w:t xml:space="preserve">Clause optionnelle : Procédure de réclamation et indemnisation</w:t>
      </w:r>
    </w:p>
    <w:p>
      <w:pPr>
        <w:pStyle w:val="Corps"/>
      </w:pPr>
      <w:r>
        <w:t xml:space="preserve">Toute réclamation suit [Procédure de réclamation] et expose fait générateur, garantie invoquée, montant estimé et pièces disponibles. Le vendeur peut répondre et participer à la défense d'une réclamation de tiers sans imposer une stratégie contraire aux intérêts légitimes de l'acquéreur. L'indemnité répare le préjudice couvert, déduction faite des recouvrements et sans double paiement.</w:t>
      </w:r>
    </w:p>
    <w:p>
      <w:pPr>
        <w:pStyle w:val="Intertitre"/>
      </w:pPr>
      <w:r>
        <w:t xml:space="preserve">Limite des garanties implicites</w:t>
      </w:r>
    </w:p>
    <w:p>
      <w:pPr>
        <w:pStyle w:val="Corps"/>
      </w:pPr>
      <w:r>
        <w:t xml:space="preserve">En dehors de la propriété, de la disponibilité des titres et des stipulations expresses incluses dans l'acte, aucune garantie générale de la situation de la société ne peut être déduite du seul engagement de céder.</w:t>
      </w:r>
    </w:p>
    <w:p>
      <w:pPr>
        <w:pStyle w:val="Intertitre"/>
      </w:pPr>
      <w:r>
        <w:t xml:space="preserve">Date de réalisation</w:t>
      </w:r>
    </w:p>
    <w:p>
      <w:pPr>
        <w:pStyle w:val="Corps"/>
      </w:pPr>
      <w:r>
        <w:t xml:space="preserve">La réalisation intervient le [Date d'achèvement] après accomplissement ou renonciation valable aux conditions, avec remise de [Produits livrables]. Tout report est constaté par écrit avec ses motifs, livrables restant dus et nouvelle échéance. Le report ne vaut ni novation ni renonciation aux manquements antérieurs, et la date d'effet juridique est distinguée des éventuelles dates comptable ou fiscale convenues.</w:t>
      </w:r>
    </w:p>
    <w:p>
      <w:pPr>
        <w:pStyle w:val="Intertitre"/>
      </w:pPr>
      <w:r>
        <w:t xml:space="preserve">Simultanéité des opérations</w:t>
      </w:r>
    </w:p>
    <w:p>
      <w:pPr>
        <w:pStyle w:val="Corps"/>
      </w:pPr>
      <w:r>
        <w:t xml:space="preserve">Paiement, remise des actes, décisions sociales, mainlevées, garanties, ordres de mouvement ou registres et autres livrables sont exécutés simultanément. Tant qu'un livrable essentiel manque, l'autre partie peut suspendre sa remise. Un constat de réalisation inventorie chaque document, l'heure d'effet du transfert, les réserves et les opérations postérieures purement matérielles.</w:t>
      </w:r>
    </w:p>
    <w:p>
      <w:pPr>
        <w:pStyle w:val="Intertitre"/>
      </w:pPr>
      <w:r>
        <w:t xml:space="preserve">Défaillance à la réalisation</w:t>
      </w:r>
    </w:p>
    <w:p>
      <w:pPr>
        <w:pStyle w:val="Corps"/>
      </w:pPr>
      <w:r>
        <w:t xml:space="preserve">La défaillance du vendeur ou de l'acquéreur est traitée selon [Procédure de défaillance au closing]. Après mise en demeure et délai de remède, la partie non défaillante peut suspendre ses remises, convenir d'un report, demander l'exécution dans les limites légales, résoudre l'engagement ou solliciter le préjudice démontré. Le sort du dépôt ou du séquestre suit sa clause propre et évite toute double réparation.</w:t>
      </w:r>
    </w:p>
    <w:p>
      <w:pPr>
        <w:pStyle w:val="Intertitre"/>
      </w:pPr>
      <w:r>
        <w:t xml:space="preserve">Transfert et opposabilité</w:t>
      </w:r>
    </w:p>
    <w:p>
      <w:pPr>
        <w:pStyle w:val="Corps"/>
      </w:pPr>
      <w:r>
        <w:t xml:space="preserve">Le transfert et son opposabilité seront constatés par les actes, notifications, agréments, registres ou inscriptions requis selon la nature des titres. Les parties remettront les instructions concordantes à la réalisation.</w:t>
      </w:r>
    </w:p>
    <w:p>
      <w:pPr>
        <w:pStyle w:val="Intertitre"/>
      </w:pPr>
      <w:r>
        <w:t xml:space="preserve">Dispositions finales</w:t>
      </w:r>
    </w:p>
    <w:p>
      <w:pPr>
        <w:pStyle w:val="Corps"/>
      </w:pPr>
      <w:r>
        <w:t xml:space="preserve">Les notifications, la confidentialité, les frais, le droit applicable, le traitement des différends et l'intégralité de l'accord sont régis par [Termes définitifs] sans contredire une règle impérative de transfert.</w:t>
      </w:r>
    </w:p>
    <w:p>
      <w:pPr>
        <w:pStyle w:val="Intertitre"/>
      </w:pPr>
      <w:r>
        <w:t xml:space="preserve">Signatures</w:t>
      </w:r>
    </w:p>
    <w:p>
      <w:pPr>
        <w:pStyle w:val="Corps"/>
      </w:pPr>
      <w:r>
        <w:t xml:space="preserve">Fait à [Lieu de signature], le [Date de signature]. Le vendeur et l'acquéreur signent par [Noms des signataires], chacun après vérification de ses pouvoirs et réception d'un exemplaire signé.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