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PROMESSE UNILATÉRALE DE CESSION DE PARTS SOCIALES OU D'ACTIONS</w:t>
      </w:r>
    </w:p>
    <w:p>
      <w:pPr>
        <w:pStyle w:val="Intertitre"/>
      </w:pPr>
      <w:r>
        <w:t xml:space="preserve">Promettant et bénéficiaire</w:t>
      </w:r>
    </w:p>
    <w:p>
      <w:pPr>
        <w:pStyle w:val="Corps"/>
      </w:pPr>
      <w:r>
        <w:t xml:space="preserve">La promesse est consentie par [Nom ou dénomination du promettant], agissant en qualité de [Qualité du promettant], au profit de [Nom du bénéficiaire], agissant en qualité de [Qualité du bénéficiaire]. Le droit du promettant sur les titres est établi par [Titre de la preuve].</w:t>
      </w:r>
    </w:p>
    <w:p>
      <w:pPr>
        <w:pStyle w:val="Intertitre"/>
      </w:pPr>
      <w:r>
        <w:t xml:space="preserve">Capacité et pouvoirs</w:t>
      </w:r>
    </w:p>
    <w:p>
      <w:pPr>
        <w:pStyle w:val="Corps"/>
      </w:pPr>
      <w:r>
        <w:t xml:space="preserve">Chaque partie déclare disposer de la capacité et des pouvoirs nécessaires pour conclure la promesse. Les pouvoirs du promettant couvrent l'engagement de céder et ceux du bénéficiaire couvrent la levée de l'option.</w:t>
      </w:r>
    </w:p>
    <w:p>
      <w:pPr>
        <w:pStyle w:val="Intertitre"/>
      </w:pPr>
      <w:r>
        <w:t xml:space="preserve">Société émettrice</w:t>
      </w:r>
    </w:p>
    <w:p>
      <w:pPr>
        <w:pStyle w:val="Corps"/>
      </w:pPr>
      <w:r>
        <w:t xml:space="preserve">Les titres ont été émis par [Dénomination de la société cible], constituée sous la forme [Forme juridique de la société cible] et immatriculée sous [Cible d'enregistrement des entreprises]. Leur désignation au registre et dans les actes sociaux est [Description des titres].</w:t>
      </w:r>
    </w:p>
    <w:p>
      <w:pPr>
        <w:pStyle w:val="Intertitre"/>
      </w:pPr>
      <w:r>
        <w:t xml:space="preserve">Propriété et quotité</w:t>
      </w:r>
    </w:p>
    <w:p>
      <w:pPr>
        <w:pStyle w:val="Corps"/>
      </w:pPr>
      <w:r>
        <w:t xml:space="preserve">Le promettant justifie détenir [Quantité de titres] titres représentant [Pourcentage de propriété] des droits concernés. Cette quotité est rapprochée des registres, comptes et actes établissant la propriété disponible.</w:t>
      </w:r>
    </w:p>
    <w:p>
      <w:pPr>
        <w:pStyle w:val="Intertitre"/>
      </w:pPr>
      <w:r>
        <w:t xml:space="preserve">Restrictions applicables</w:t>
      </w:r>
    </w:p>
    <w:p>
      <w:pPr>
        <w:pStyle w:val="Corps"/>
      </w:pPr>
      <w:r>
        <w:t xml:space="preserve">Les restrictions statutaires, conventionnelles ou résultant d'un droit de tiers sont décrites par [Restrictions au transfert]. Elles demeurent applicables à la réalisation et ne sont ni écartées ni réputées purgées par la seule signature.</w:t>
      </w:r>
    </w:p>
    <w:p>
      <w:pPr>
        <w:pStyle w:val="Intertitre"/>
      </w:pPr>
      <w:r>
        <w:t xml:space="preserve">Nature des titres promis — choisir une seule variante</w:t>
      </w:r>
    </w:p>
    <w:p>
      <w:pPr>
        <w:pStyle w:val="Variante"/>
      </w:pPr>
      <w:r>
        <w:t xml:space="preserve">Variante : Parts sociales promises</w:t>
      </w:r>
    </w:p>
    <w:p>
      <w:pPr>
        <w:pStyle w:val="Corps"/>
      </w:pPr>
      <w:r>
        <w:t xml:space="preserve">La promesse porte exclusivement sur les parts sociales identifiées, dans la quantité et la quotité convenues. Leur cession reste soumise aux règles d'agrément suivantes : [Règles d'agrément] ; la notification du projet et la décision compétente devront être établies avant réalisation.</w:t>
      </w:r>
    </w:p>
    <w:p>
      <w:pPr>
        <w:pStyle w:val="Variante"/>
      </w:pPr>
      <w:r>
        <w:t xml:space="preserve">Variante : Actions promises</w:t>
      </w:r>
    </w:p>
    <w:p>
      <w:pPr>
        <w:pStyle w:val="Corps"/>
      </w:pPr>
      <w:r>
        <w:t xml:space="preserve">La promesse porte exclusivement sur les actions de catégorie [Classe de stocks], dans la quantité et la quotité convenues. La réalisation exige les instructions et inscriptions en compte conformes aux restrictions [Restrictions au transfert] et aux droits attachés à cette catégorie.</w:t>
      </w:r>
    </w:p>
    <w:p>
      <w:pPr>
        <w:pStyle w:val="Intertitre"/>
      </w:pPr>
      <w:r>
        <w:t xml:space="preserve">Droits attachés</w:t>
      </w:r>
    </w:p>
    <w:p>
      <w:pPr>
        <w:pStyle w:val="Corps"/>
      </w:pPr>
      <w:r>
        <w:t xml:space="preserve">Les titres seront délivrés avec tous leurs droits financiers et politiques à la date de réalisation, notamment dividendes décidés après cette date, droit de vote et droits préférentiels attachés. Tout usufruit, nue-propriété, réserve de jouissance ou droit détachable antérieur doit être identifié dans [Description des titres]; à défaut de stipulation expresse, la promesse porte sur la pleine propriété des seuls titres désignés et n'englobe aucun titre futur, option ou instrument donnant accès au capital.</w:t>
      </w:r>
    </w:p>
    <w:p>
      <w:pPr>
        <w:pStyle w:val="Intertitre"/>
      </w:pPr>
      <w:r>
        <w:t xml:space="preserve">Sûretés et indisponibilités</w:t>
      </w:r>
    </w:p>
    <w:p>
      <w:pPr>
        <w:pStyle w:val="Corps"/>
      </w:pPr>
      <w:r>
        <w:t xml:space="preserve">Les nantissements, saisies, promesses antérieures, usufruits, restrictions ou autres charges révélés sont : [Charges divulguées]. Le promettant s'oblige à obtenir toute mainlevée requise avant la réalisation.</w:t>
      </w:r>
    </w:p>
    <w:p>
      <w:pPr>
        <w:pStyle w:val="Intertitre"/>
      </w:pPr>
      <w:r>
        <w:t xml:space="preserve">Engagement irrévocable</w:t>
      </w:r>
    </w:p>
    <w:p>
      <w:pPr>
        <w:pStyle w:val="Corps"/>
      </w:pPr>
      <w:r>
        <w:t xml:space="preserve">Le promettant s'engage irrévocablement à céder au bénéficiaire les titres désignés selon [Périmètre de l'engagement]. La conclusion de la cession promise ne dépend plus que de la décision du bénéficiaire d'exercer l'option.</w:t>
      </w:r>
    </w:p>
    <w:p>
      <w:pPr>
        <w:pStyle w:val="Intertitre"/>
      </w:pPr>
      <w:r>
        <w:t xml:space="preserve">Maintien de la promesse</w:t>
      </w:r>
    </w:p>
    <w:p>
      <w:pPr>
        <w:pStyle w:val="Corps"/>
      </w:pPr>
      <w:r>
        <w:t xml:space="preserve">La révocation, rétractation ou opposition unilatérale du promettant pendant la période d'option ne prive pas le bénéficiaire de son droit de former la cession promise par une levée régulière.</w:t>
      </w:r>
    </w:p>
    <w:p>
      <w:pPr>
        <w:pStyle w:val="Intertitre"/>
      </w:pPr>
      <w:r>
        <w:t xml:space="preserve">Interdiction de disposer</w:t>
      </w:r>
    </w:p>
    <w:p>
      <w:pPr>
        <w:pStyle w:val="Corps"/>
      </w:pPr>
      <w:r>
        <w:t xml:space="preserve">Jusqu'à l'extinction de l'option, le promettant s'interdit de céder, promettre, apporter, nantir ou autrement rendre indisponibles les titres, ainsi que de consentir un droit incompatible avec celui du bénéficiaire.</w:t>
      </w:r>
    </w:p>
    <w:p>
      <w:pPr>
        <w:pStyle w:val="Intertitre"/>
      </w:pPr>
      <w:r>
        <w:t xml:space="preserve">Préservation des titres</w:t>
      </w:r>
    </w:p>
    <w:p>
      <w:pPr>
        <w:pStyle w:val="Corps"/>
      </w:pPr>
      <w:r>
        <w:t xml:space="preserve">Le promettant conserve les titres sans altérer leur catégorie, leur nombre ou leurs droits et informe sans délai le bénéficiaire de toute opération sociale susceptible d'affecter le périmètre promis.</w:t>
      </w:r>
    </w:p>
    <w:p>
      <w:pPr>
        <w:pStyle w:val="Intertitre"/>
      </w:pPr>
      <w:r>
        <w:t xml:space="preserve">Droit personnel d'opter</w:t>
      </w:r>
    </w:p>
    <w:p>
      <w:pPr>
        <w:pStyle w:val="Corps"/>
      </w:pPr>
      <w:r>
        <w:t xml:space="preserve">Le bénéficiaire dispose seul du droit d'accepter la cession promise. Son silence, ses échanges préparatoires ou une demande d'information ne valent pas levée d'option en dehors de la méthode convenue.</w:t>
      </w:r>
    </w:p>
    <w:p>
      <w:pPr>
        <w:pStyle w:val="Intertitre"/>
      </w:pPr>
      <w:r>
        <w:t xml:space="preserve">Étendue de la levée d'option — choisir une seule variante</w:t>
      </w:r>
    </w:p>
    <w:p>
      <w:pPr>
        <w:pStyle w:val="Variante"/>
      </w:pPr>
      <w:r>
        <w:t xml:space="preserve">Variante : Levée partielle autorisée</w:t>
      </w:r>
    </w:p>
    <w:p>
      <w:pPr>
        <w:pStyle w:val="Corps"/>
      </w:pPr>
      <w:r>
        <w:t xml:space="preserve">Le bénéficiaire peut lever l'option pour une partie seulement des titres, à condition d'identifier sans ambiguïté la quantité retenue et d'appliquer proportionnellement le prix et les droits attachés. Chaque levée partielle est irrévocable; le solde demeure optionnel jusqu'au terme sans prorogation, et les seuils d'agrément ou d'opposabilité sont contrôlés pour chaque transfert.</w:t>
      </w:r>
    </w:p>
    <w:p>
      <w:pPr>
        <w:pStyle w:val="Variante"/>
      </w:pPr>
      <w:r>
        <w:t xml:space="preserve">Variante : Levée partielle interdite</w:t>
      </w:r>
    </w:p>
    <w:p>
      <w:pPr>
        <w:pStyle w:val="Corps"/>
      </w:pPr>
      <w:r>
        <w:t xml:space="preserve">L'option ne peut être levée que pour la totalité indivisible des titres promis. Toute notification visant une quantité inférieure, répartissant la levée entre plusieurs dates ou excluant un droit attaché est irrégulière et ne forme pas la cession. Le bénéficiaire doit corriger sa notification avant le terme; le promettant n'est pas tenu d'accepter une exécution fractionnée.</w:t>
      </w:r>
    </w:p>
    <w:p>
      <w:pPr>
        <w:pStyle w:val="Intertitre"/>
      </w:pPr>
      <w:r>
        <w:t xml:space="preserve">Période d'option</w:t>
      </w:r>
    </w:p>
    <w:p>
      <w:pPr>
        <w:pStyle w:val="Corps"/>
      </w:pPr>
      <w:r>
        <w:t xml:space="preserve">L'option peut être exercée à compter du [Date de début de l'option] et jusqu'au [Date de fin de l'option] inclus. Le délai est impératif et s'apprécie selon la réception effective de la notification par le promettant. Toute prorogation doit être écrite, signée avant l'expiration et préciser sa nouvelle échéance; aucune négociation, demande de document ou tolérance ne prolonge tacitement la période d'option.</w:t>
      </w:r>
    </w:p>
    <w:p>
      <w:pPr>
        <w:pStyle w:val="Intertitre"/>
      </w:pPr>
      <w:r>
        <w:t xml:space="preserve">Levée de l'option</w:t>
      </w:r>
    </w:p>
    <w:p>
      <w:pPr>
        <w:pStyle w:val="Corps"/>
      </w:pPr>
      <w:r>
        <w:t xml:space="preserve">La levée est notifiée par [Méthode d'exercice] et identifie la promesse, les titres, le bénéficiaire et sa volonté ferme d'acquérir aux conditions convenues. La notification doit permettre d'établir son contenu intégral, son auteur, sa date d'envoi et sa date de réception. Une notification assortie d'une réserve, d'un nouveau prix ou d'une condition non prévue ne constitue pas une levée conforme.</w:t>
      </w:r>
    </w:p>
    <w:p>
      <w:pPr>
        <w:pStyle w:val="Intertitre"/>
      </w:pPr>
      <w:r>
        <w:t xml:space="preserve">Formation de la cession promise</w:t>
      </w:r>
    </w:p>
    <w:p>
      <w:pPr>
        <w:pStyle w:val="Corps"/>
      </w:pPr>
      <w:r>
        <w:t xml:space="preserve">La réception d'une levée régulière forme l'engagement de cession selon les éléments essentiels arrêtés dans la promesse, sous réserve des formalités de transfert et restrictions qui demeurent applicables.</w:t>
      </w:r>
    </w:p>
    <w:p>
      <w:pPr>
        <w:pStyle w:val="Intertitre"/>
      </w:pPr>
      <w:r>
        <w:t xml:space="preserve">Extinction de l'option</w:t>
      </w:r>
    </w:p>
    <w:p>
      <w:pPr>
        <w:pStyle w:val="Corps"/>
      </w:pPr>
      <w:r>
        <w:t xml:space="preserve">L'option s'éteint à son terme si aucune levée conforme n'a été reçue, par renonciation expresse du bénéficiaire ou dans les autres cas expressément stipulés. La caducité libère le promettant pour l'avenir sans effacer les obligations nées avant son constat, notamment confidentialité, restitution de documents, responsabilité pour violation de l'indisponibilité ou sort des sommes détenues par un séquestre.</w:t>
      </w:r>
    </w:p>
    <w:p>
      <w:pPr>
        <w:pStyle w:val="Intertitre"/>
      </w:pPr>
      <w:r>
        <w:t xml:space="preserve">Prix de base</w:t>
      </w:r>
    </w:p>
    <w:p>
      <w:pPr>
        <w:pStyle w:val="Corps"/>
      </w:pPr>
      <w:r>
        <w:t xml:space="preserve">Le prix de base est fixé à [Prix de base] selon [Méthode de valorisation]. Il rémunère exactement les titres compris dans le périmètre et n'intègre ni titre futur ni créance distincte sauf stipulation expresse. Les parties reconnaissent que le prix est déterminé ou objectivement déterminable au jour de la promesse, sans dépendre d'un nouvel accord après la levée de l'option.</w:t>
      </w:r>
    </w:p>
    <w:p>
      <w:pPr>
        <w:pStyle w:val="Intertitre"/>
      </w:pPr>
      <w:r>
        <w:t xml:space="preserve">Paiement du prix</w:t>
      </w:r>
    </w:p>
    <w:p>
      <w:pPr>
        <w:pStyle w:val="Corps"/>
      </w:pPr>
      <w:r>
        <w:t xml:space="preserve">Le bénéficiaire acquitte le prix selon [Modalités de paiement]. Les échéances précisent le compte destinataire, les frais, la monnaie, la preuve libératoire et, le cas échéant, les retenues autorisées. Sauf fraction différée ou séquestrée expressément convenue, paiement, remise des actes et inscription du transfert sont interdépendants et exécutés simultanément à la réalisation.</w:t>
      </w:r>
    </w:p>
    <w:p>
      <w:pPr>
        <w:pStyle w:val="Intertitre"/>
      </w:pPr>
      <w:r>
        <w:t xml:space="preserve">Clause optionnelle : Séquestre d'une fraction du prix</w:t>
      </w:r>
    </w:p>
    <w:p>
      <w:pPr>
        <w:pStyle w:val="Corps"/>
      </w:pPr>
      <w:r>
        <w:t xml:space="preserve">La somme de [Montant séquestré] est remise à [Séquestre] dans les conditions [Conditions de libération du séquestre]. La mission du séquestre distingue libération au promettant, restitution au bénéficiaire et maintien temporaire en cas de contestation. Les fonds restent séparés, aucune partie ne peut en disposer unilatéralement et les intérêts, frais, instructions conjointes et décision exécutoire sont traités par la convention de séquestre.</w:t>
      </w:r>
    </w:p>
    <w:p>
      <w:pPr>
        <w:pStyle w:val="Intertitre"/>
      </w:pPr>
      <w:r>
        <w:t xml:space="preserve">Clause optionnelle : Ajustement de prix</w:t>
      </w:r>
    </w:p>
    <w:p>
      <w:pPr>
        <w:pStyle w:val="Corps"/>
      </w:pPr>
      <w:r>
        <w:t xml:space="preserve">Le prix est ajusté d'après [Paramètres de réglage], calculé selon [Formule d'ajustement] à partir de [Référence - comptes de]. Les méthodes comptables, la date de référence, les éléments exceptionnels et la personne chargée du calcul restent constants. Le projet de calcul est communiqué avec ses justificatifs; toute contestation motivée suit [Procédure de règlement des différends], sans rouvrir le prix de base ni retarder la fraction non contestée.</w:t>
      </w:r>
    </w:p>
    <w:p>
      <w:pPr>
        <w:pStyle w:val="Intertitre"/>
      </w:pPr>
      <w:r>
        <w:t xml:space="preserve">Clause optionnelle : Complément de prix lié à la performance</w:t>
      </w:r>
    </w:p>
    <w:p>
      <w:pPr>
        <w:pStyle w:val="Corps"/>
      </w:pPr>
      <w:r>
        <w:t xml:space="preserve">Un complément de prix est calculé selon [Formule d'earn-out] au titre de [Période de mesure de l'earn-out], à partir de [Source des comptes d'earn-out]. Les méthodes comptables sont appliquées de façon constante; les décisions susceptibles de déplacer artificiellement la performance sont neutralisées. Le calcul et ses pièces sont communiqués contradictoirement, la fraction non contestée est payée à l'échéance et le différend suit la procédure d'expertise prévue pour l'ajustement.</w:t>
      </w:r>
    </w:p>
    <w:p>
      <w:pPr>
        <w:pStyle w:val="Intertitre"/>
      </w:pPr>
      <w:r>
        <w:t xml:space="preserve">Caractère déterminable du prix</w:t>
      </w:r>
    </w:p>
    <w:p>
      <w:pPr>
        <w:pStyle w:val="Corps"/>
      </w:pPr>
      <w:r>
        <w:t xml:space="preserve">La méthode de valorisation et, le cas échéant, la formule d'ajustement doivent permettre un calcul objectif à partir des données convenues, sans dépendre de la seule volonté d'une partie ni d'un accord futur.</w:t>
      </w:r>
    </w:p>
    <w:p>
      <w:pPr>
        <w:pStyle w:val="Intertitre"/>
      </w:pPr>
      <w:r>
        <w:t xml:space="preserve">Clause optionnelle : Conditions suspensives</w:t>
      </w:r>
    </w:p>
    <w:p>
      <w:pPr>
        <w:pStyle w:val="Corps"/>
      </w:pPr>
      <w:r>
        <w:t xml:space="preserve">Les conditions suspensives applicables sont énumérées dans [Liste des conditions] et administrées selon [Procédure des conditions]. Pour chacune sont identifiés son bénéficiaire, la partie chargée des diligences, la preuve attendue, la date butoir et la faculté éventuelle de renonciation. La partie qui contrôle une démarche l'accomplit loyalement, informe l'autre de son avancement et ne peut tirer avantage d'une défaillance qu'elle a provoquée.</w:t>
      </w:r>
    </w:p>
    <w:p>
      <w:pPr>
        <w:pStyle w:val="Intertitre"/>
      </w:pPr>
      <w:r>
        <w:t xml:space="preserve">Clause optionnelle : Condition d'approbation sociale</w:t>
      </w:r>
    </w:p>
    <w:p>
      <w:pPr>
        <w:pStyle w:val="Corps"/>
      </w:pPr>
      <w:r>
        <w:t xml:space="preserve">La réalisation est subordonnée à [Approbation sociale requise] au plus tard le [Date butoir d'approbation]. La partie chargée de la procédure communique convocations, décision et preuve de notification. La condition n'est réputée accomplie qu'après une décision valable et définitive; tout refus, ajournement ou approbation assortie d'une modification du périmètre est traité selon le régime de non-réalisation convenu.</w:t>
      </w:r>
    </w:p>
    <w:p>
      <w:pPr>
        <w:pStyle w:val="Intertitre"/>
      </w:pPr>
      <w:r>
        <w:t xml:space="preserve">Clause optionnelle : Condition de renonciation ou consentement d'un tiers</w:t>
      </w:r>
    </w:p>
    <w:p>
      <w:pPr>
        <w:pStyle w:val="Corps"/>
      </w:pPr>
      <w:r>
        <w:t xml:space="preserve">Les consentements et renonciations requis sont [Renonciations de tiers requises] et doivent être obtenus avant le [Date butoir des renonciations]. Chaque document doit identifier le droit purgé, les titres concernés et l'absence de réserve incompatible avec la cession. Le silence d'un tiers ne vaut renonciation que si un texte ou le contrat applicable le prévoit expressément.</w:t>
      </w:r>
    </w:p>
    <w:p>
      <w:pPr>
        <w:pStyle w:val="Intertitre"/>
      </w:pPr>
      <w:r>
        <w:t xml:space="preserve">Clause optionnelle : Condition de financement du bénéficiaire</w:t>
      </w:r>
    </w:p>
    <w:p>
      <w:pPr>
        <w:pStyle w:val="Corps"/>
      </w:pPr>
      <w:r>
        <w:t xml:space="preserve">Le bénéficiaire doit obtenir un financement répondant à [Condition de financement] avant le [Date butoir de financement]. Il accomplit les démarches et remet les justificatifs convenus sans révéler d'information non nécessaire. La condition ne couvre pas un financement présentant des caractéristiques moins favorables que les limites définies; toute renonciation doit être expresse et ne modifie pas l'obligation de paiement à la réalisation.</w:t>
      </w:r>
    </w:p>
    <w:p>
      <w:pPr>
        <w:pStyle w:val="Intertitre"/>
      </w:pPr>
      <w:r>
        <w:t xml:space="preserve">Gestion permise pendant la période intercalaire</w:t>
      </w:r>
    </w:p>
    <w:p>
      <w:pPr>
        <w:pStyle w:val="Corps"/>
      </w:pPr>
      <w:r>
        <w:t xml:space="preserve">Entre la signature et la réalisation, la société peut poursuivre les opérations de gestion courante décrites dans [Opérations intercalaires permises]. Le promettant exerce ses droits sans modifier artificiellement la valeur ou le périmètre des titres. Une opération urgente nécessaire à la continuité est documentée et signalée sans délai, avec son motif, son coût et son incidence sur les déclarations ou le prix.</w:t>
      </w:r>
    </w:p>
    <w:p>
      <w:pPr>
        <w:pStyle w:val="Intertitre"/>
      </w:pPr>
      <w:r>
        <w:t xml:space="preserve">Clause optionnelle : Opérations intercalaires soumises à accord</w:t>
      </w:r>
    </w:p>
    <w:p>
      <w:pPr>
        <w:pStyle w:val="Corps"/>
      </w:pPr>
      <w:r>
        <w:t xml:space="preserve">Les opérations suivantes nécessitent l'accord écrit préalable du bénéficiaire : [Opérations intercalaires réservées]. La demande expose l'objet, le montant, les risques et l'urgence; l'accord ne peut être déduit du silence sauf stipulation expresse. Un refus ne doit pas être abusif lorsqu'une mesure est indispensable à la continuité, mais il ne transfère au bénéficiaire ni la direction ni la responsabilité de gestion avant réalisation.</w:t>
      </w:r>
    </w:p>
    <w:p>
      <w:pPr>
        <w:pStyle w:val="Intertitre"/>
      </w:pPr>
      <w:r>
        <w:t xml:space="preserve">Information pendant la période intercalaire</w:t>
      </w:r>
    </w:p>
    <w:p>
      <w:pPr>
        <w:pStyle w:val="Corps"/>
      </w:pPr>
      <w:r>
        <w:t xml:space="preserve">Le promettant remet au bénéficiaire les informations prévues selon [Calendrier d'information intercalaire] et signale immédiatement tout événement affectant les titres, les conditions, le prix ou la réalisation. Le bénéficiaire utilise ces informations uniquement pour suivre la promesse, respecte leur confidentialité et ne s'immisce pas dans la gestion. Toute divergence matérielle fait l'objet d'une notification circonstanciée et traçable.</w:t>
      </w:r>
    </w:p>
    <w:p>
      <w:pPr>
        <w:pStyle w:val="Intertitre"/>
      </w:pPr>
      <w:r>
        <w:t xml:space="preserve">Déclarations du promettant</w:t>
      </w:r>
    </w:p>
    <w:p>
      <w:pPr>
        <w:pStyle w:val="Corps"/>
      </w:pPr>
      <w:r>
        <w:t xml:space="preserve">Le promettant déclare être titulaire des titres selon [Titre de la preuve], pouvoir en disposer dans les limites révélées et n'avoir consenti aucune charge autre que [Charges divulguées].</w:t>
      </w:r>
    </w:p>
    <w:p>
      <w:pPr>
        <w:pStyle w:val="Intertitre"/>
      </w:pPr>
      <w:r>
        <w:t xml:space="preserve">Exactitude des informations</w:t>
      </w:r>
    </w:p>
    <w:p>
      <w:pPr>
        <w:pStyle w:val="Corps"/>
      </w:pPr>
      <w:r>
        <w:t xml:space="preserve">Les déclarations relatives à la société, aux titres, aux restrictions et aux charges sont données à la date de signature et seront réitérées à la réalisation, sous réserve des mises à jour communiquées et acceptées.</w:t>
      </w:r>
    </w:p>
    <w:p>
      <w:pPr>
        <w:pStyle w:val="Intertitre"/>
      </w:pPr>
      <w:r>
        <w:t xml:space="preserve">Périmètre des déclarations</w:t>
      </w:r>
    </w:p>
    <w:p>
      <w:pPr>
        <w:pStyle w:val="Corps"/>
      </w:pPr>
      <w:r>
        <w:t xml:space="preserve">Les déclarations du promettant portent sur la propriété, la disponibilité et les restrictions des titres. Elles ne constituent pas une garantie générale de la situation de la société au-delà des stipulations expresses.</w:t>
      </w:r>
    </w:p>
    <w:p>
      <w:pPr>
        <w:pStyle w:val="Intertitre"/>
      </w:pPr>
      <w:r>
        <w:t xml:space="preserve">Date de réalisation</w:t>
      </w:r>
    </w:p>
    <w:p>
      <w:pPr>
        <w:pStyle w:val="Corps"/>
      </w:pPr>
      <w:r>
        <w:t xml:space="preserve">La réalisation intervient le [Date d'achèvement] après levée régulière et accomplissement ou renonciation valable aux conditions. La date ne peut être reportée que par un écrit identifiant le motif, les obligations restant à satisfaire et la nouvelle échéance. Le report ne vaut ni novation, ni renonciation aux droits nés d'un retard ou d'une inexécution antérieure.</w:t>
      </w:r>
    </w:p>
    <w:p>
      <w:pPr>
        <w:pStyle w:val="Intertitre"/>
      </w:pPr>
      <w:r>
        <w:t xml:space="preserve">Opérations de réalisation</w:t>
      </w:r>
    </w:p>
    <w:p>
      <w:pPr>
        <w:pStyle w:val="Corps"/>
      </w:pPr>
      <w:r>
        <w:t xml:space="preserve">À la réalisation, les parties exécutent les opérations énumérées dans [Étapes d'achèvement] : paiement ou remise au séquestre, actes de cession, ordres de mouvement ou registre, décisions d'agrément, mainlevées, attestations et documents sociaux. Chaque livrable est daté, signé par la personne habilitée et rapproché d'un tableau de clôture; aucun document futur n'est présenté comme déjà remis.</w:t>
      </w:r>
    </w:p>
    <w:p>
      <w:pPr>
        <w:pStyle w:val="Intertitre"/>
      </w:pPr>
      <w:r>
        <w:t xml:space="preserve">Simultanéité et constat de réalisation</w:t>
      </w:r>
    </w:p>
    <w:p>
      <w:pPr>
        <w:pStyle w:val="Corps"/>
      </w:pPr>
      <w:r>
        <w:t xml:space="preserve">Les paiements, remises, signatures, agréments, mainlevées et inscriptions forment un ensemble indivisible de réalisation. Tant qu'un livrable essentiel manque, chaque partie peut suspendre sa propre remise sans être réputée défaillante. À l'achèvement, un constat de réalisation inventorie les documents échangés, l'heure d'effet du transfert, les réserves éventuelles et les opérations postérieures restant purement matérielles.</w:t>
      </w:r>
    </w:p>
    <w:p>
      <w:pPr>
        <w:pStyle w:val="Intertitre"/>
      </w:pPr>
      <w:r>
        <w:t xml:space="preserve">Défaillance du promettant</w:t>
      </w:r>
    </w:p>
    <w:p>
      <w:pPr>
        <w:pStyle w:val="Corps"/>
      </w:pPr>
      <w:r>
        <w:t xml:space="preserve">Si le promettant refuse ou omet d'exécuter après une levée régulière et la satisfaction des conditions, le bénéficiaire le met en demeure et peut solliciter l'exécution en nature dans les limites légales, la suspension de son paiement, la résolution ou l'indemnisation du préjudice démontré. Les mesures sont coordonnées pour éviter une double réparation et n'autorisent pas à présenter le transfert comme accompli avant les formalités requises.</w:t>
      </w:r>
    </w:p>
    <w:p>
      <w:pPr>
        <w:pStyle w:val="Intertitre"/>
      </w:pPr>
      <w:r>
        <w:t xml:space="preserve">Défaillance du bénéficiaire</w:t>
      </w:r>
    </w:p>
    <w:p>
      <w:pPr>
        <w:pStyle w:val="Corps"/>
      </w:pPr>
      <w:r>
        <w:t xml:space="preserve">Si le bénéficiaire lève régulièrement l'option puis n'acquitte pas le prix ou ne remet pas un livrable essentiel, le promettant le met en demeure et peut suspendre le transfert, demander l'exécution, résoudre la cession formée ou réclamer le préjudice justifié selon les stipulations applicables. Toute somme séquestrée est libérée ou restituée uniquement selon la convention de séquestre ou une décision exécutoire.</w:t>
      </w:r>
    </w:p>
    <w:p>
      <w:pPr>
        <w:pStyle w:val="Intertitre"/>
      </w:pPr>
      <w:r>
        <w:t xml:space="preserve">Effet du transfert</w:t>
      </w:r>
    </w:p>
    <w:p>
      <w:pPr>
        <w:pStyle w:val="Corps"/>
      </w:pPr>
      <w:r>
        <w:t xml:space="preserve">Le transfert de propriété et son opposabilité prendront effet selon le régime légal de la nature des titres, après accomplissement des formalités sociales, registres et inscriptions requises.</w:t>
      </w:r>
    </w:p>
    <w:p>
      <w:pPr>
        <w:pStyle w:val="Intertitre"/>
      </w:pPr>
      <w:r>
        <w:t xml:space="preserve">Notifications</w:t>
      </w:r>
    </w:p>
    <w:p>
      <w:pPr>
        <w:pStyle w:val="Corps"/>
      </w:pPr>
      <w:r>
        <w:t xml:space="preserve">Toute notification relative à l'option ou à la réalisation doit emprunter [Méthode d'exercice], identifier son objet et permettre d'établir son contenu, sa date d'envoi et sa réception.</w:t>
      </w:r>
    </w:p>
    <w:p>
      <w:pPr>
        <w:pStyle w:val="Intertitre"/>
      </w:pPr>
      <w:r>
        <w:t xml:space="preserve">Droit applicable et différends</w:t>
      </w:r>
    </w:p>
    <w:p>
      <w:pPr>
        <w:pStyle w:val="Corps"/>
      </w:pPr>
      <w:r>
        <w:t xml:space="preserve">La promesse est soumise au droit français. Tout différend relatif à sa validité, son interprétation ou son exécution sera traité selon [Méthode de règlement des différends], sous réserve des règles impératives.</w:t>
      </w:r>
    </w:p>
    <w:p>
      <w:pPr>
        <w:pStyle w:val="Intertitre"/>
      </w:pPr>
      <w:r>
        <w:t xml:space="preserve">Signatures</w:t>
      </w:r>
    </w:p>
    <w:p>
      <w:pPr>
        <w:pStyle w:val="Corps"/>
      </w:pPr>
      <w:r>
        <w:t xml:space="preserve">Fait à [Lieu de signature], le [Date de signature]. Le promettant signe par [Signature du promettant] et le bénéficiaire par [Signature du bénéficiaire], chacun reconnaissant recevoir un exemplaire signé.</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