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STATUTS DE SOCIÉTÉ À RESPONSABILITÉ LIMITÉE OU D'ENTREPRISE UNIPERSONNELLE À RESPONSABILITÉ LIMITÉE</w:t>
      </w:r>
    </w:p>
    <w:p>
      <w:pPr>
        <w:pStyle w:val="Intertitre"/>
      </w:pPr>
      <w:r>
        <w:t xml:space="preserve">Constitution de la société</w:t>
      </w:r>
    </w:p>
    <w:p>
      <w:pPr>
        <w:pStyle w:val="Corps"/>
      </w:pPr>
      <w:r>
        <w:t xml:space="preserve">Les fondateurs conviennent de constituer une société commerciale régie par les dispositions applicables aux sociétés à responsabilité limitée, par les présents statuts et par les décisions régulièrement prises au cours de la vie sociale.</w:t>
      </w:r>
    </w:p>
    <w:p>
      <w:pPr>
        <w:pStyle w:val="Intertitre"/>
      </w:pPr>
      <w:r>
        <w:t xml:space="preserve">Identification des fondateurs</w:t>
      </w:r>
    </w:p>
    <w:p>
      <w:pPr>
        <w:pStyle w:val="Corps"/>
      </w:pPr>
      <w:r>
        <w:t xml:space="preserve">Les fondateurs sont identifiés comme suit : [Identité et qualité des fondateurs]. Leur identité, leur domicile ou siège, leur régime ou forme juridique et leur qualité de souscripteur sont contrôlés avant la signature définitive.</w:t>
      </w:r>
    </w:p>
    <w:p>
      <w:pPr>
        <w:pStyle w:val="Intertitre"/>
      </w:pPr>
      <w:r>
        <w:t xml:space="preserve">Représentation des fondateurs</w:t>
      </w:r>
    </w:p>
    <w:p>
      <w:pPr>
        <w:pStyle w:val="Corps"/>
      </w:pPr>
      <w:r>
        <w:t xml:space="preserve">Tout fondateur qui ne signe pas personnellement est représenté selon [Pouvoirs des représentants]. Le pouvoir doit autoriser la constitution, les apports, l'adoption des statuts et, le cas échéant, la nomination du Gérant.</w:t>
      </w:r>
    </w:p>
    <w:p>
      <w:pPr>
        <w:pStyle w:val="Intertitre"/>
      </w:pPr>
      <w:r>
        <w:t xml:space="preserve">Capacité et incompatibilités</w:t>
      </w:r>
    </w:p>
    <w:p>
      <w:pPr>
        <w:pStyle w:val="Corps"/>
      </w:pPr>
      <w:r>
        <w:t xml:space="preserve">La capacité des fondateurs et des personnes appelées à exercer la gérance est établie par [Justificatifs de capacité]. Toute mesure de protection, interdiction, incompatibilité professionnelle ou autorisation particulière est traitée avant signature.</w:t>
      </w:r>
    </w:p>
    <w:p>
      <w:pPr>
        <w:pStyle w:val="Intertitre"/>
      </w:pPr>
      <w:r>
        <w:t xml:space="preserve">Forme pluripersonnelle ou unipersonnelle — choisir une seule variante</w:t>
      </w:r>
    </w:p>
    <w:p>
      <w:pPr>
        <w:pStyle w:val="Variante"/>
      </w:pPr>
      <w:r>
        <w:t xml:space="preserve">Variante : Forme pluripersonnelle</w:t>
      </w:r>
    </w:p>
    <w:p>
      <w:pPr>
        <w:pStyle w:val="Corps"/>
      </w:pPr>
      <w:r>
        <w:t xml:space="preserve">La société est constituée sous la forme d'une société à responsabilité limitée comprenant plusieurs associés. Ceux-ci ne supportent les pertes qu'à concurrence de leurs apports, sans préjudice de leurs engagements personnels distincts.</w:t>
      </w:r>
    </w:p>
    <w:p>
      <w:pPr>
        <w:pStyle w:val="Variante"/>
      </w:pPr>
      <w:r>
        <w:t xml:space="preserve">Variante : Forme unipersonnelle</w:t>
      </w:r>
    </w:p>
    <w:p>
      <w:pPr>
        <w:pStyle w:val="Corps"/>
      </w:pPr>
      <w:r>
        <w:t xml:space="preserve">La société est constituée sous la forme d'une entreprise unipersonnelle à responsabilité limitée. Elle ne comprend qu'un associé unique, lequel exerce les pouvoirs attribués à la collectivité des associés dans les limites du régime unipersonnel.</w:t>
      </w:r>
    </w:p>
    <w:p>
      <w:pPr>
        <w:pStyle w:val="Intertitre"/>
      </w:pPr>
      <w:r>
        <w:t xml:space="preserve">Responsabilité attachée aux apports</w:t>
      </w:r>
    </w:p>
    <w:p>
      <w:pPr>
        <w:pStyle w:val="Corps"/>
      </w:pPr>
      <w:r>
        <w:t xml:space="preserve">Chaque associé contribue aux pertes dans la limite de ses apports. Cette limitation ne couvre ni une garantie personnelle, ni une faute de gestion, ni une responsabilité découlant d'un engagement ou d'une règle distincte.</w:t>
      </w:r>
    </w:p>
    <w:p>
      <w:pPr>
        <w:pStyle w:val="Intertitre"/>
      </w:pPr>
      <w:r>
        <w:t xml:space="preserve">Nombre d'associés</w:t>
      </w:r>
    </w:p>
    <w:p>
      <w:pPr>
        <w:pStyle w:val="Corps"/>
      </w:pPr>
      <w:r>
        <w:t xml:space="preserve">La société ne peut comprendre plus de [Nombre maximal d’associés] associés. Tout dépassement est régularisé dans les [Délai de régularisation du nombre d’associés] mois par réduction du nombre d’associés ou transformation afin d’éviter la dissolution.</w:t>
      </w:r>
    </w:p>
    <w:p>
      <w:pPr>
        <w:pStyle w:val="Intertitre"/>
      </w:pPr>
      <w:r>
        <w:t xml:space="preserve">Clause optionnelle : Conditions propres à une activité réglementée</w:t>
      </w:r>
    </w:p>
    <w:p>
      <w:pPr>
        <w:pStyle w:val="Corps"/>
      </w:pPr>
      <w:r>
        <w:t xml:space="preserve">L'activité [Activité réglementée] ne peut être exercée qu'après vérification de [Autorisation professionnelle]. Les présents statuts ne valent ni agrément, ni inscription, ni assurance professionnelle et ne permettent pas de commencer l'activité avant satisfaction des conditions applicables.</w:t>
      </w:r>
    </w:p>
    <w:p>
      <w:pPr>
        <w:pStyle w:val="Intertitre"/>
      </w:pPr>
      <w:r>
        <w:t xml:space="preserve">Clause optionnelle : Emploi de biens communs</w:t>
      </w:r>
    </w:p>
    <w:p>
      <w:pPr>
        <w:pStyle w:val="Corps"/>
      </w:pPr>
      <w:r>
        <w:t xml:space="preserve">[Époux apporteur de biens communs] déclare employer des biens communs pour souscrire des parts. [Conjoint informé] a été préalablement informé selon [Preuve d'information du conjoint], laquelle est conservée avec les pièces constitutives.</w:t>
      </w:r>
    </w:p>
    <w:p>
      <w:pPr>
        <w:pStyle w:val="Intertitre"/>
      </w:pPr>
      <w:r>
        <w:t xml:space="preserve">Clause optionnelle : Revendication du conjoint lors de la souscription</w:t>
      </w:r>
    </w:p>
    <w:p>
      <w:pPr>
        <w:pStyle w:val="Corps"/>
      </w:pPr>
      <w:r>
        <w:t xml:space="preserve">[Conjoint informé] revendique lors de la souscription la qualité d’associé pour [Parts revendiquées par le conjoint] parts, selon [Preuve de la revendication du conjoint]. La reconnaissance et les droits correspondants sont constatés dans la répartition des parts.</w:t>
      </w:r>
    </w:p>
    <w:p>
      <w:pPr>
        <w:pStyle w:val="Intertitre"/>
      </w:pPr>
      <w:r>
        <w:t xml:space="preserve">Clause optionnelle : Revendication ultérieure du conjoint</w:t>
      </w:r>
    </w:p>
    <w:p>
      <w:pPr>
        <w:pStyle w:val="Corps"/>
      </w:pPr>
      <w:r>
        <w:t xml:space="preserve">[Conjoint informé] revendique ultérieurement la qualité d’associé pour [Parts revendiquées par le conjoint] parts selon [Preuve de la revendication du conjoint]. La demande est instruite conformément à [Procédure d’agrément du conjoint revendiquant ultérieurement] ; l’époux déjà associé ne participe pas au vote et ses parts ne sont pas prises en compte lorsque la loi l’impose.</w:t>
      </w:r>
    </w:p>
    <w:p>
      <w:pPr>
        <w:pStyle w:val="Intertitre"/>
      </w:pPr>
      <w:r>
        <w:t xml:space="preserve">Clause optionnelle : Absence de revendication du conjoint</w:t>
      </w:r>
    </w:p>
    <w:p>
      <w:pPr>
        <w:pStyle w:val="Corps"/>
      </w:pPr>
      <w:r>
        <w:t xml:space="preserve">Le conjoint informé n’exerce pas, au stade de la constitution, la faculté de revendiquer la qualité d’associé, ainsi qu’il résulte de [Preuve de l’absence de revendication du conjoint]. Une revendication ultérieure demeure soumise au régime alors applicable.</w:t>
      </w:r>
    </w:p>
    <w:p>
      <w:pPr>
        <w:pStyle w:val="Intertitre"/>
      </w:pPr>
      <w:r>
        <w:t xml:space="preserve">Bénéficiaires effectifs</w:t>
      </w:r>
    </w:p>
    <w:p>
      <w:pPr>
        <w:pStyle w:val="Corps"/>
      </w:pPr>
      <w:r>
        <w:t xml:space="preserve">La situation des bénéficiaires effectifs est documentée par [Déclaration des bénéficiaires effectifs]. La signature des statuts ne vaut pas dépôt de cette déclaration ; la formalité est accomplie et contrôlée séparément.</w:t>
      </w:r>
    </w:p>
    <w:p>
      <w:pPr>
        <w:pStyle w:val="Intertitre"/>
      </w:pPr>
      <w:r>
        <w:t xml:space="preserve">Dénomination sociale</w:t>
      </w:r>
    </w:p>
    <w:p>
      <w:pPr>
        <w:pStyle w:val="Corps"/>
      </w:pPr>
      <w:r>
        <w:t xml:space="preserve">La société prend la dénomination [Dénomination sociale]. Dans ses actes destinés aux tiers, cette dénomination est accompagnée de la forme sociale, du capital et des mentions d'immatriculation exigées.</w:t>
      </w:r>
    </w:p>
    <w:p>
      <w:pPr>
        <w:pStyle w:val="Intertitre"/>
      </w:pPr>
      <w:r>
        <w:t xml:space="preserve">Mentions sur les actes sociaux</w:t>
      </w:r>
    </w:p>
    <w:p>
      <w:pPr>
        <w:pStyle w:val="Corps"/>
      </w:pPr>
      <w:r>
        <w:t xml:space="preserve">Les factures, correspondances, annonces et autres documents émanant de la société reproduisent sa dénomination, sa forme, son capital, son siège et ses références d'immatriculation telles qu'elles résultent des formalités effectivement accomplies.</w:t>
      </w:r>
    </w:p>
    <w:p>
      <w:pPr>
        <w:pStyle w:val="Intertitre"/>
      </w:pPr>
      <w:r>
        <w:t xml:space="preserve">Objet social</w:t>
      </w:r>
    </w:p>
    <w:p>
      <w:pPr>
        <w:pStyle w:val="Corps"/>
      </w:pPr>
      <w:r>
        <w:t xml:space="preserve">La société a pour objet : [Objet social principal]. Cet objet est interprété dans le respect de son caractère licite, de l'intérêt social et des autorisations requises pour chaque activité effectivement exercée.</w:t>
      </w:r>
    </w:p>
    <w:p>
      <w:pPr>
        <w:pStyle w:val="Intertitre"/>
      </w:pPr>
      <w:r>
        <w:t xml:space="preserve">Opérations accessoires</w:t>
      </w:r>
    </w:p>
    <w:p>
      <w:pPr>
        <w:pStyle w:val="Corps"/>
      </w:pPr>
      <w:r>
        <w:t xml:space="preserve">La société peut réaliser les opérations suivantes lorsqu'elles se rattachent directement ou indirectement à son objet et demeurent compatibles avec celui-ci : [Opérations accessoires]. Cette faculté ne crée pas une autorisation générale d'exercer une activité réglementée non déclarée.</w:t>
      </w:r>
    </w:p>
    <w:p>
      <w:pPr>
        <w:pStyle w:val="Intertitre"/>
      </w:pPr>
      <w:r>
        <w:t xml:space="preserve">Clause optionnelle : Limites de l'objet réglementé</w:t>
      </w:r>
    </w:p>
    <w:p>
      <w:pPr>
        <w:pStyle w:val="Corps"/>
      </w:pPr>
      <w:r>
        <w:t xml:space="preserve">Pour l'activité [Activité réglementée], l'objet est exécuté exclusivement par les personnes et dans les conditions couvertes par [Autorisation professionnelle]. Toute extension de l'activité impose une vérification préalable et, si nécessaire, une modification statutaire.</w:t>
      </w:r>
    </w:p>
    <w:p>
      <w:pPr>
        <w:pStyle w:val="Intertitre"/>
      </w:pPr>
      <w:r>
        <w:t xml:space="preserve">Siège social</w:t>
      </w:r>
    </w:p>
    <w:p>
      <w:pPr>
        <w:pStyle w:val="Corps"/>
      </w:pPr>
      <w:r>
        <w:t xml:space="preserve">Le siège social est fixé à [Siège social] en vertu de [Titre d'occupation du siège]. La société conserve le justificatif de jouissance et respecte les limites attachées à ce titre.</w:t>
      </w:r>
    </w:p>
    <w:p>
      <w:pPr>
        <w:pStyle w:val="Intertitre"/>
      </w:pPr>
      <w:r>
        <w:t xml:space="preserve">Transfert du siège</w:t>
      </w:r>
    </w:p>
    <w:p>
      <w:pPr>
        <w:pStyle w:val="Corps"/>
      </w:pPr>
      <w:r>
        <w:t xml:space="preserve">Le ou les Gérants peuvent décider le transfert du siège sur le territoire français sous réserve de sa ratification par les associés selon le régime légal. La ratification est organisée dans [Délai de ratification du transfert] et les statuts sont mis à jour après décision régulière.</w:t>
      </w:r>
    </w:p>
    <w:p>
      <w:pPr>
        <w:pStyle w:val="Intertitre"/>
      </w:pPr>
      <w:r>
        <w:t xml:space="preserve">Durée</w:t>
      </w:r>
    </w:p>
    <w:p>
      <w:pPr>
        <w:pStyle w:val="Corps"/>
      </w:pPr>
      <w:r>
        <w:t xml:space="preserve">La durée de la société est fixée à [Durée de la société] années à compter de son immatriculation, sauf prorogation ou dissolution anticipée régulièrement décidée.</w:t>
      </w:r>
    </w:p>
    <w:p>
      <w:pPr>
        <w:pStyle w:val="Intertitre"/>
      </w:pPr>
      <w:r>
        <w:t xml:space="preserve">Prorogation</w:t>
      </w:r>
    </w:p>
    <w:p>
      <w:pPr>
        <w:pStyle w:val="Corps"/>
      </w:pPr>
      <w:r>
        <w:t xml:space="preserve">La gérance consulte les associés sur une éventuelle prorogation au moins [Anticipation de la prorogation] avant le terme, afin que la décision et ses formalités puissent intervenir avant l'expiration de la société.</w:t>
      </w:r>
    </w:p>
    <w:p>
      <w:pPr>
        <w:pStyle w:val="Intertitre"/>
      </w:pPr>
      <w:r>
        <w:t xml:space="preserve">Composition des apports</w:t>
      </w:r>
    </w:p>
    <w:p>
      <w:pPr>
        <w:pStyle w:val="Corps"/>
      </w:pPr>
      <w:r>
        <w:t xml:space="preserve">Les apports constitutifs sont décrits individuellement, évalués selon leur nature et rapprochés du capital ainsi que des parts attribuées. Aucun bien, dette, sûreté ou charge n'est présumé compris dans un apport faute d'identification expresse.</w:t>
      </w:r>
    </w:p>
    <w:p>
      <w:pPr>
        <w:pStyle w:val="Intertitre"/>
      </w:pPr>
      <w:r>
        <w:t xml:space="preserve">Structure des apports au capital — choisir une seule variante</w:t>
      </w:r>
    </w:p>
    <w:p>
      <w:pPr>
        <w:pStyle w:val="Variante"/>
      </w:pPr>
      <w:r>
        <w:t xml:space="preserve">Variante : Apports exclusivement en numéraire</w:t>
      </w:r>
    </w:p>
    <w:p>
      <w:pPr>
        <w:pStyle w:val="Corps"/>
      </w:pPr>
      <w:r>
        <w:t xml:space="preserve">Le capital est constitué exclusivement d'apports en numéraire pour un total de [Total des apports en numéraire]. Aucun apport en nature n'est rémunéré par des parts au titre de la constitution.</w:t>
      </w:r>
    </w:p>
    <w:p>
      <w:pPr>
        <w:pStyle w:val="Variante"/>
      </w:pPr>
      <w:r>
        <w:t xml:space="preserve">Variante : Apports en numéraire et en nature</w:t>
      </w:r>
    </w:p>
    <w:p>
      <w:pPr>
        <w:pStyle w:val="Corps"/>
      </w:pPr>
      <w:r>
        <w:t xml:space="preserve">Le capital réunit des apports en numéraire de [Total des apports en numéraire] et des apports en nature évalués et rémunérés dans les articles qui suivent. Le total est rapproché du capital et de la répartition des parts.</w:t>
      </w:r>
    </w:p>
    <w:p>
      <w:pPr>
        <w:pStyle w:val="Variante"/>
      </w:pPr>
      <w:r>
        <w:t xml:space="preserve">Variante : Apports exclusivement en nature</w:t>
      </w:r>
    </w:p>
    <w:p>
      <w:pPr>
        <w:pStyle w:val="Corps"/>
      </w:pPr>
      <w:r>
        <w:t xml:space="preserve">Le capital est constitué exclusivement d’apports en nature évalués et rémunérés dans les articles qui suivent. Aucun apport en numéraire n’est souscrit lors de la constitution.</w:t>
      </w:r>
    </w:p>
    <w:p>
      <w:pPr>
        <w:pStyle w:val="Intertitre"/>
      </w:pPr>
      <w:r>
        <w:t xml:space="preserve">Clause optionnelle : Apports en numéraire</w:t>
      </w:r>
    </w:p>
    <w:p>
      <w:pPr>
        <w:pStyle w:val="Corps"/>
      </w:pPr>
      <w:r>
        <w:t xml:space="preserve">Les apports en numéraire souscrits s'élèvent à [Total des apports en numéraire]. La somme effectivement libérée à la constitution est de [Numéraire libéré à la constitution] et le solde restant dû est de [Solde du numéraire à libérer].</w:t>
      </w:r>
    </w:p>
    <w:p>
      <w:pPr>
        <w:pStyle w:val="Intertitre"/>
      </w:pPr>
      <w:r>
        <w:t xml:space="preserve">Libération du numéraire — choisir une seule variante</w:t>
      </w:r>
    </w:p>
    <w:p>
      <w:pPr>
        <w:pStyle w:val="Variante"/>
      </w:pPr>
      <w:r>
        <w:t xml:space="preserve">Variante : Libération intégrale du numéraire</w:t>
      </w:r>
    </w:p>
    <w:p>
      <w:pPr>
        <w:pStyle w:val="Corps"/>
      </w:pPr>
      <w:r>
        <w:t xml:space="preserve">Les apports en numéraire sont intégralement libérés à la constitution. Le montant versé correspond au total souscrit et aucune créance de libération différée n'est constatée à ce titre.</w:t>
      </w:r>
    </w:p>
    <w:p>
      <w:pPr>
        <w:pStyle w:val="Variante"/>
      </w:pPr>
      <w:r>
        <w:t xml:space="preserve">Variante : Libération partielle du numéraire</w:t>
      </w:r>
    </w:p>
    <w:p>
      <w:pPr>
        <w:pStyle w:val="Corps"/>
      </w:pPr>
      <w:r>
        <w:t xml:space="preserve">Au moins un cinquième des apports en numéraire est libéré à la constitution. Le solde de [Solde du numéraire à libérer] est appelé par la gérance en une ou plusieurs fois dans [Délai d'appel du solde], sans dépasser le délai légal à compter de l'immatriculation.</w:t>
      </w:r>
    </w:p>
    <w:p>
      <w:pPr>
        <w:pStyle w:val="Variante"/>
      </w:pPr>
      <w:r>
        <w:t xml:space="preserve">Variante : Absence d’apport en numéraire</w:t>
      </w:r>
    </w:p>
    <w:p>
      <w:pPr>
        <w:pStyle w:val="Corps"/>
      </w:pPr>
      <w:r>
        <w:t xml:space="preserve">Aucun apport en numéraire n’étant souscrit lors de la constitution, aucune libération ni aucun dépôt de fonds n’est requis à ce titre.</w:t>
      </w:r>
    </w:p>
    <w:p>
      <w:pPr>
        <w:pStyle w:val="Intertitre"/>
      </w:pPr>
      <w:r>
        <w:t xml:space="preserve">Clause optionnelle : Dépôt des fonds</w:t>
      </w:r>
    </w:p>
    <w:p>
      <w:pPr>
        <w:pStyle w:val="Corps"/>
      </w:pPr>
      <w:r>
        <w:t xml:space="preserve">Les fonds ont été déposés auprès de [Dépositaire des fonds] sous la référence [Référence du dépôt]. Le certificat de dépôt est daté du [Date du certificat de dépôt] et demeure annexé ou conservé dans le dossier constitutif.</w:t>
      </w:r>
    </w:p>
    <w:p>
      <w:pPr>
        <w:pStyle w:val="Intertitre"/>
      </w:pPr>
      <w:r>
        <w:t xml:space="preserve">Clause optionnelle : Apports en nature</w:t>
      </w:r>
    </w:p>
    <w:p>
      <w:pPr>
        <w:pStyle w:val="Corps"/>
      </w:pPr>
      <w:r>
        <w:t xml:space="preserve">[Apporteur en nature] apporte [Description de l'apport en nature], évalué à [Valeur de l'apport en nature] et rémunéré par [Parts attribuées pour l'apport en nature] parts. Les charges affectant le bien sont décrites par [Charges grevant l'apport en nature] ; la propriété, les garanties et la mise à disposition sont établies par les pièces annexées.</w:t>
      </w:r>
    </w:p>
    <w:p>
      <w:pPr>
        <w:pStyle w:val="Intertitre"/>
      </w:pPr>
      <w:r>
        <w:t xml:space="preserve">Évaluation des apports en nature — choisir une seule variante</w:t>
      </w:r>
    </w:p>
    <w:p>
      <w:pPr>
        <w:pStyle w:val="Variante"/>
      </w:pPr>
      <w:r>
        <w:t xml:space="preserve">Variante : Absence d'apport en nature</w:t>
      </w:r>
    </w:p>
    <w:p>
      <w:pPr>
        <w:pStyle w:val="Corps"/>
      </w:pPr>
      <w:r>
        <w:t xml:space="preserve">Aucun apport en nature n'étant retenu, aucune évaluation par commissaire aux apports ni décision de dispense n'est requise pour la constitution.</w:t>
      </w:r>
    </w:p>
    <w:p>
      <w:pPr>
        <w:pStyle w:val="Variante"/>
      </w:pPr>
      <w:r>
        <w:t xml:space="preserve">Variante : Évaluation par commissaire aux apports</w:t>
      </w:r>
    </w:p>
    <w:p>
      <w:pPr>
        <w:pStyle w:val="Corps"/>
      </w:pPr>
      <w:r>
        <w:t xml:space="preserve">Les apports en nature sont évalués sous la responsabilité de [Commissaire aux apports] dans un rapport daté du [Date du rapport d'apports] et annexé aux présents statuts. La valeur statutaire est rapprochée de ce rapport.</w:t>
      </w:r>
    </w:p>
    <w:p>
      <w:pPr>
        <w:pStyle w:val="Variante"/>
      </w:pPr>
      <w:r>
        <w:t xml:space="preserve">Variante : Dispense fondée sur les seuils</w:t>
      </w:r>
    </w:p>
    <w:p>
      <w:pPr>
        <w:pStyle w:val="Corps"/>
      </w:pPr>
      <w:r>
        <w:t xml:space="preserve">Les fondateurs décident à l'unanimité de ne pas recourir à un commissaire aux apports après avoir vérifié qu'aucun apport n'excède [Seuil individuel des apports] et que le total de [Total des apports en nature dispensés] n'excède pas la moitié du capital. La décision est datée du [Date de la décision de dispense].</w:t>
      </w:r>
    </w:p>
    <w:p>
      <w:pPr>
        <w:pStyle w:val="Variante"/>
      </w:pPr>
      <w:r>
        <w:t xml:space="preserve">Variante : Dispense propre à l'associé unique entrepreneur individuel</w:t>
      </w:r>
    </w:p>
    <w:p>
      <w:pPr>
        <w:pStyle w:val="Corps"/>
      </w:pPr>
      <w:r>
        <w:t xml:space="preserve">L'associé unique personne physique apporte des éléments de son activité individuelle identifiée par [Activité individuelle antérieure] et figurant au bilan clos le [Date du dernier bilan]. L'applicabilité de la dispense est contrôlée bien par bien.</w:t>
      </w:r>
    </w:p>
    <w:p>
      <w:pPr>
        <w:pStyle w:val="Intertitre"/>
      </w:pPr>
      <w:r>
        <w:t xml:space="preserve">Clause optionnelle : Responsabilité liée à l'évaluation</w:t>
      </w:r>
    </w:p>
    <w:p>
      <w:pPr>
        <w:pStyle w:val="Corps"/>
      </w:pPr>
      <w:r>
        <w:t xml:space="preserve">Lorsqu'aucun commissaire n'intervient ou que la valeur retenue diffère de celle proposée, la responsabilité légale relative à l'évaluation subsiste pendant la durée prévue par la loi. Cette conséquence n'est ni exclue ni plafonnée par les statuts.</w:t>
      </w:r>
    </w:p>
    <w:p>
      <w:pPr>
        <w:pStyle w:val="Intertitre"/>
      </w:pPr>
      <w:r>
        <w:t xml:space="preserve">Clause optionnelle : Apport en industrie</w:t>
      </w:r>
    </w:p>
    <w:p>
      <w:pPr>
        <w:pStyle w:val="Corps"/>
      </w:pPr>
      <w:r>
        <w:t xml:space="preserve">[Apporteur en industrie] s'engage à fournir [Description de l'apport en industrie]. Cet apport ne concourt pas au capital et donne lieu à [Parts d'industrie] parts d'industrie dans les conditions définies ci-après.</w:t>
      </w:r>
    </w:p>
    <w:p>
      <w:pPr>
        <w:pStyle w:val="Intertitre"/>
      </w:pPr>
      <w:r>
        <w:t xml:space="preserve">Clause optionnelle : Droits et obligations des parts d'industrie</w:t>
      </w:r>
    </w:p>
    <w:p>
      <w:pPr>
        <w:pStyle w:val="Corps"/>
      </w:pPr>
      <w:r>
        <w:t xml:space="preserve">Les parts d'industrie ouvrent les droits financiers définis par [Droits financiers de l'apporteur en industrie] et imposent l'exécution personnelle de l'apport. La restriction d'activité suivante s'applique uniquement dans la mesure nécessaire et proportionnée : [Obligation de non-concurrence de l'apporteur].</w:t>
      </w:r>
    </w:p>
    <w:p>
      <w:pPr>
        <w:pStyle w:val="Intertitre"/>
      </w:pPr>
      <w:r>
        <w:t xml:space="preserve">Capital fixe ou variable — choisir une seule variante</w:t>
      </w:r>
    </w:p>
    <w:p>
      <w:pPr>
        <w:pStyle w:val="Variante"/>
      </w:pPr>
      <w:r>
        <w:t xml:space="preserve">Variante : Capital fixe</w:t>
      </w:r>
    </w:p>
    <w:p>
      <w:pPr>
        <w:pStyle w:val="Corps"/>
      </w:pPr>
      <w:r>
        <w:t xml:space="preserve">Le capital social est fixé à [Capital social]. Il ne peut être modifié que par une décision régulière des associés ou de l'associé unique et l'accomplissement des formalités correspondantes.</w:t>
      </w:r>
    </w:p>
    <w:p>
      <w:pPr>
        <w:pStyle w:val="Variante"/>
      </w:pPr>
      <w:r>
        <w:t xml:space="preserve">Variante : Capital variable</w:t>
      </w:r>
    </w:p>
    <w:p>
      <w:pPr>
        <w:pStyle w:val="Corps"/>
      </w:pPr>
      <w:r>
        <w:t xml:space="preserve">La société adopte le régime du capital variable. Le capital souscrit initial est de [Capital souscrit initial], le capital plancher de [Capital plancher] et le capital maximal autorisé de [Capital maximal autorisé].</w:t>
      </w:r>
    </w:p>
    <w:p>
      <w:pPr>
        <w:pStyle w:val="Intertitre"/>
      </w:pPr>
      <w:r>
        <w:t xml:space="preserve">Clause optionnelle : Variations, admission et retrait</w:t>
      </w:r>
    </w:p>
    <w:p>
      <w:pPr>
        <w:pStyle w:val="Corps"/>
      </w:pPr>
      <w:r>
        <w:t xml:space="preserve">Dans les limites du capital plancher et du plafond, les admissions, souscriptions, retraits et remboursements sont constatés selon une décision et une mise à jour traçables. Le retrait d'un associé respecte un préavis de [Préavis de retrait] et ne peut réduire le capital sous le plancher.</w:t>
      </w:r>
    </w:p>
    <w:p>
      <w:pPr>
        <w:pStyle w:val="Intertitre"/>
      </w:pPr>
      <w:r>
        <w:t xml:space="preserve">Division du capital en parts égales</w:t>
      </w:r>
    </w:p>
    <w:p>
      <w:pPr>
        <w:pStyle w:val="Corps"/>
      </w:pPr>
      <w:r>
        <w:t xml:space="preserve">Le capital est divisé en [Nombre de parts sociales] parts sociales égales d'une valeur nominale de [Valeur nominale d'une part] chacune. Les parts sociales ne sont pas représentées par des titres négociables.</w:t>
      </w:r>
    </w:p>
    <w:p>
      <w:pPr>
        <w:pStyle w:val="Intertitre"/>
      </w:pPr>
      <w:r>
        <w:t xml:space="preserve">Attribution des parts sociales</w:t>
      </w:r>
    </w:p>
    <w:p>
      <w:pPr>
        <w:pStyle w:val="Corps"/>
      </w:pPr>
      <w:r>
        <w:t xml:space="preserve">Les parts sont attribuées aux associés conformément à [Répartition des parts sociales]. La répartition mentionne pour chacun le nombre et la numérotation des parts ainsi que la nature de l'apport. Le contrôle [Contrôle de cohérence du capital] établit l'égalité entre apports, capital, nominal et nombre de parts.</w:t>
      </w:r>
    </w:p>
    <w:p>
      <w:pPr>
        <w:pStyle w:val="Intertitre"/>
      </w:pPr>
      <w:r>
        <w:t xml:space="preserve">Clause optionnelle : Appel du solde des apports</w:t>
      </w:r>
    </w:p>
    <w:p>
      <w:pPr>
        <w:pStyle w:val="Corps"/>
      </w:pPr>
      <w:r>
        <w:t xml:space="preserve">Lorsque le numéraire n'est pas intégralement libéré, la gérance appelle le solde par décision écrite précisant montant, échéance et compte de versement. Les associés disposent d'une information identique et la libération intégrale précède toute nouvelle souscription en numéraire lorsque la loi l'exige.</w:t>
      </w:r>
    </w:p>
    <w:p>
      <w:pPr>
        <w:pStyle w:val="Intertitre"/>
      </w:pPr>
      <w:r>
        <w:t xml:space="preserve">Pièces relatives aux apports</w:t>
      </w:r>
    </w:p>
    <w:p>
      <w:pPr>
        <w:pStyle w:val="Corps"/>
      </w:pPr>
      <w:r>
        <w:t xml:space="preserve">Les certificats de dépôt, rapports d'évaluation, décisions de dispense, actes de propriété, états de charges et tableaux d'attribution utiles sont recensés dans [Annexes aux statuts] et rattachés à la version signée.</w:t>
      </w:r>
    </w:p>
    <w:p>
      <w:pPr>
        <w:pStyle w:val="Intertitre"/>
      </w:pPr>
      <w:r>
        <w:t xml:space="preserve">Droits attachés aux parts</w:t>
      </w:r>
    </w:p>
    <w:p>
      <w:pPr>
        <w:pStyle w:val="Corps"/>
      </w:pPr>
      <w:r>
        <w:t xml:space="preserve">Chaque part donne droit à une fraction proportionnelle du bénéfice, de l'actif net et du vote, sous réserve des droits propres aux parts d'industrie, d'un démembrement régulièrement organisé et des règles impératives. Aucun associé ne peut être privé de tout bénéfice ni exonéré de toutes les pertes.</w:t>
      </w:r>
    </w:p>
    <w:p>
      <w:pPr>
        <w:pStyle w:val="Intertitre"/>
      </w:pPr>
      <w:r>
        <w:t xml:space="preserve">Suivi des parts et des associés</w:t>
      </w:r>
    </w:p>
    <w:p>
      <w:pPr>
        <w:pStyle w:val="Corps"/>
      </w:pPr>
      <w:r>
        <w:t xml:space="preserve">La répartition et les mouvements de parts sont suivis sous la responsabilité de [Responsable du registre des associés] à partir des statuts, actes, décisions et formalités opposables. Les notifications utilisent [Coordonnées des associés] sans que le registre remplace les actes requis pour une transmission.</w:t>
      </w:r>
    </w:p>
    <w:p>
      <w:pPr>
        <w:pStyle w:val="Intertitre"/>
      </w:pPr>
      <w:r>
        <w:t xml:space="preserve">Indivisibilité des parts</w:t>
      </w:r>
    </w:p>
    <w:p>
      <w:pPr>
        <w:pStyle w:val="Corps"/>
      </w:pPr>
      <w:r>
        <w:t xml:space="preserve">Chaque part est indivisible à l'égard de la société. Les copropriétaires indivis se font représenter selon [Mandataire de l'indivision], sans priver aucun associé de son droit légal de participer aux décisions.</w:t>
      </w:r>
    </w:p>
    <w:p>
      <w:pPr>
        <w:pStyle w:val="Intertitre"/>
      </w:pPr>
      <w:r>
        <w:t xml:space="preserve">Vote en cas de démembrement — choisir une seule variante</w:t>
      </w:r>
    </w:p>
    <w:p>
      <w:pPr>
        <w:pStyle w:val="Variante"/>
      </w:pPr>
      <w:r>
        <w:t xml:space="preserve">Variante : Démembrement selon la répartition légale</w:t>
      </w:r>
    </w:p>
    <w:p>
      <w:pPr>
        <w:pStyle w:val="Corps"/>
      </w:pPr>
      <w:r>
        <w:t xml:space="preserve">En cas d'usufruit, le nu-propriétaire et l'usufruitier participent aux décisions. Le vote appartient au nu-propriétaire, sauf pour l'affectation des bénéfices où il appartient à l'usufruitier, sous réserve d'une convention autorisée et régulièrement portée à la connaissance de la société.</w:t>
      </w:r>
    </w:p>
    <w:p>
      <w:pPr>
        <w:pStyle w:val="Variante"/>
      </w:pPr>
      <w:r>
        <w:t xml:space="preserve">Variante : Démembrement avec répartition aménagée</w:t>
      </w:r>
    </w:p>
    <w:p>
      <w:pPr>
        <w:pStyle w:val="Corps"/>
      </w:pPr>
      <w:r>
        <w:t xml:space="preserve">Le nu-propriétaire et l'usufruitier participent aux décisions et exercent le vote conformément à [Répartition du vote en usufruit]. L'aménagement respecte le vote de l'usufruitier sur l'affectation des bénéfices et ne supprime le droit de participation d'aucun titulaire.</w:t>
      </w:r>
    </w:p>
    <w:p>
      <w:pPr>
        <w:pStyle w:val="Intertitre"/>
      </w:pPr>
      <w:r>
        <w:t xml:space="preserve">Clause optionnelle : Comptes courants d'associés</w:t>
      </w:r>
    </w:p>
    <w:p>
      <w:pPr>
        <w:pStyle w:val="Corps"/>
      </w:pPr>
      <w:r>
        <w:t xml:space="preserve">Les associés peuvent mettre des fonds à disposition de la société selon [Conditions des comptes courants]. Toute rémunération au taux de [Taux du compte courant] est soumise à une convention, aux décisions sociales et aux règles fiscales applicables.</w:t>
      </w:r>
    </w:p>
    <w:p>
      <w:pPr>
        <w:pStyle w:val="Intertitre"/>
      </w:pPr>
      <w:r>
        <w:t xml:space="preserve">Cessions entre associés — choisir une seule variante</w:t>
      </w:r>
    </w:p>
    <w:p>
      <w:pPr>
        <w:pStyle w:val="Variante"/>
      </w:pPr>
      <w:r>
        <w:t xml:space="preserve">Variante : Cessions entre associés libres</w:t>
      </w:r>
    </w:p>
    <w:p>
      <w:pPr>
        <w:pStyle w:val="Corps"/>
      </w:pPr>
      <w:r>
        <w:t xml:space="preserve">Les cessions de parts entre associés sont libres, sous réserve d'un acte régulier, de l'opposabilité à la société et de l'accomplissement des formalités. La qualité d'associé du cessionnaire est contrôlée avant mise à jour de la répartition.</w:t>
      </w:r>
    </w:p>
    <w:p>
      <w:pPr>
        <w:pStyle w:val="Variante"/>
      </w:pPr>
      <w:r>
        <w:t xml:space="preserve">Variante : Agrément des cessions entre associés</w:t>
      </w:r>
    </w:p>
    <w:p>
      <w:pPr>
        <w:pStyle w:val="Corps"/>
      </w:pPr>
      <w:r>
        <w:t xml:space="preserve">Les cessions entre associés sont soumises aux conditions suivantes : [Cession entre associés]. Cette restriction statutaire est appliquée sans aggraver une procédure impérative ni empêcher la mise en œuvre des droits légaux du cédant.</w:t>
      </w:r>
    </w:p>
    <w:p>
      <w:pPr>
        <w:pStyle w:val="Intertitre"/>
      </w:pPr>
      <w:r>
        <w:t xml:space="preserve">Transmissions familiales — choisir une seule variante</w:t>
      </w:r>
    </w:p>
    <w:p>
      <w:pPr>
        <w:pStyle w:val="Variante"/>
      </w:pPr>
      <w:r>
        <w:t xml:space="preserve">Variante : Transmissions familiales libres</w:t>
      </w:r>
    </w:p>
    <w:p>
      <w:pPr>
        <w:pStyle w:val="Corps"/>
      </w:pPr>
      <w:r>
        <w:t xml:space="preserve">Les parts sont librement transmissibles par succession ou liquidation de communauté et librement cessibles entre conjoints, ascendants et descendants, sous réserve des actes et formalités nécessaires.</w:t>
      </w:r>
    </w:p>
    <w:p>
      <w:pPr>
        <w:pStyle w:val="Variante"/>
      </w:pPr>
      <w:r>
        <w:t xml:space="preserve">Variante : Agrément des transmissions familiales</w:t>
      </w:r>
    </w:p>
    <w:p>
      <w:pPr>
        <w:pStyle w:val="Corps"/>
      </w:pPr>
      <w:r>
        <w:t xml:space="preserve">L'entrée d'un conjoint, héritier, ascendant ou descendant est soumise à [Transmission familiale]. Les délais et la majorité ne peuvent être plus contraignants que ceux autorisés, et le refus déclenche les solutions de rachat ou de réduction prévues par la loi.</w:t>
      </w:r>
    </w:p>
    <w:p>
      <w:pPr>
        <w:pStyle w:val="Intertitre"/>
      </w:pPr>
      <w:r>
        <w:t xml:space="preserve">Cessions à des tiers — choisir une seule variante</w:t>
      </w:r>
    </w:p>
    <w:p>
      <w:pPr>
        <w:pStyle w:val="Variante"/>
      </w:pPr>
      <w:r>
        <w:t xml:space="preserve">Variante : Agrément légal des cessions à des tiers</w:t>
      </w:r>
    </w:p>
    <w:p>
      <w:pPr>
        <w:pStyle w:val="Corps"/>
      </w:pPr>
      <w:r>
        <w:t xml:space="preserve">Dans une SARL pluripersonnelle, les parts ne peuvent être cédées à un tiers étranger à la société qu'avec le consentement de la majorité des associés représentant au moins la moitié des parts. L'associé cédant ne peut contourner la notification ni les conséquences légales d'un refus.</w:t>
      </w:r>
    </w:p>
    <w:p>
      <w:pPr>
        <w:pStyle w:val="Variante"/>
      </w:pPr>
      <w:r>
        <w:t xml:space="preserve">Variante : Agrément renforcé des cessions à des tiers</w:t>
      </w:r>
    </w:p>
    <w:p>
      <w:pPr>
        <w:pStyle w:val="Corps"/>
      </w:pPr>
      <w:r>
        <w:t xml:space="preserve">Dans une SARL pluripersonnelle, la cession à un tiers exige le consentement des associés selon une majorité de [Majorité d'agrément des tiers] %, supérieure ou égale au plancher légal sans être interdite. Le reste de la procédure légale demeure applicable.</w:t>
      </w:r>
    </w:p>
    <w:p>
      <w:pPr>
        <w:pStyle w:val="Variante"/>
      </w:pPr>
      <w:r>
        <w:t xml:space="preserve">Variante : Absence d'agrément en présence d'un associé unique</w:t>
      </w:r>
    </w:p>
    <w:p>
      <w:pPr>
        <w:pStyle w:val="Corps"/>
      </w:pPr>
      <w:r>
        <w:t xml:space="preserve">Tant que l'associé unique détient toutes les parts, aucune collectivité distincte n'est appelée à agréer son cessionnaire. La cession totale ou partielle demeure constatée par acte et entraîne, s'il entre un second associé, le passage au fonctionnement pluripersonnel.</w:t>
      </w:r>
    </w:p>
    <w:p>
      <w:pPr>
        <w:pStyle w:val="Intertitre"/>
      </w:pPr>
      <w:r>
        <w:t xml:space="preserve">Clause optionnelle : Cession par l'associé unique</w:t>
      </w:r>
    </w:p>
    <w:p>
      <w:pPr>
        <w:pStyle w:val="Corps"/>
      </w:pPr>
      <w:r>
        <w:t xml:space="preserve">Tant que toutes les parts sont réunies entre les mains de l'associé unique, celui-ci peut les céder en tout ou partie par acte régulier. L'entrée d'un second associé fait cesser le fonctionnement unipersonnel et impose la mise à jour des statuts et des organes de décision.</w:t>
      </w:r>
    </w:p>
    <w:p>
      <w:pPr>
        <w:pStyle w:val="Intertitre"/>
      </w:pPr>
      <w:r>
        <w:t xml:space="preserve">Clause optionnelle : Notification d'un projet de cession</w:t>
      </w:r>
    </w:p>
    <w:p>
      <w:pPr>
        <w:pStyle w:val="Corps"/>
      </w:pPr>
      <w:r>
        <w:t xml:space="preserve">Le projet de cession est notifié selon [Notification du projet de cession]. Le délai de décision de [Délai de décision d'agrément] court à compter de la dernière notification exigée ; les dates et preuves sont conservées pour déterminer l'éventuel agrément tacite.</w:t>
      </w:r>
    </w:p>
    <w:p>
      <w:pPr>
        <w:pStyle w:val="Intertitre"/>
      </w:pPr>
      <w:r>
        <w:t xml:space="preserve">Clause optionnelle : Conséquences d'un refus d'agrément</w:t>
      </w:r>
    </w:p>
    <w:p>
      <w:pPr>
        <w:pStyle w:val="Corps"/>
      </w:pPr>
      <w:r>
        <w:t xml:space="preserve">En cas de refus, les associés font acquérir les parts ou la société les rachète avec l'accord du cédant dans [Délai de rachat après refus]. Le cédant peut renoncer à son projet ; à défaut de solution dans le délai applicable, il retrouve la faculté prévue par la loi.</w:t>
      </w:r>
    </w:p>
    <w:p>
      <w:pPr>
        <w:pStyle w:val="Intertitre"/>
      </w:pPr>
      <w:r>
        <w:t xml:space="preserve">Détermination du prix des parts</w:t>
      </w:r>
    </w:p>
    <w:p>
      <w:pPr>
        <w:pStyle w:val="Corps"/>
      </w:pPr>
      <w:r>
        <w:t xml:space="preserve">Le prix est déterminé selon [Méthode de fixation du prix]. En cas de désaccord dans un cas où la loi le prévoit, la valeur des droits sociaux est fixée par un expert conformément au mécanisme légal applicable.</w:t>
      </w:r>
    </w:p>
    <w:p>
      <w:pPr>
        <w:pStyle w:val="Intertitre"/>
      </w:pPr>
      <w:r>
        <w:t xml:space="preserve">Clause optionnelle : Agrément d'un nantissement de parts</w:t>
      </w:r>
    </w:p>
    <w:p>
      <w:pPr>
        <w:pStyle w:val="Corps"/>
      </w:pPr>
      <w:r>
        <w:t xml:space="preserve">Le projet de nantissement est soumis à [Agrément d'un nantissement]. Le consentement donné emporte les effets prévus en cas de réalisation forcée, sans priver la société de la faculté légale de racheter les parts pour réduire son capital.</w:t>
      </w:r>
    </w:p>
    <w:p>
      <w:pPr>
        <w:pStyle w:val="Intertitre"/>
      </w:pPr>
      <w:r>
        <w:t xml:space="preserve">Continuation après décès — choisir une seule variante</w:t>
      </w:r>
    </w:p>
    <w:p>
      <w:pPr>
        <w:pStyle w:val="Variante"/>
      </w:pPr>
      <w:r>
        <w:t xml:space="preserve">Variante : Continuation avec les héritiers</w:t>
      </w:r>
    </w:p>
    <w:p>
      <w:pPr>
        <w:pStyle w:val="Corps"/>
      </w:pPr>
      <w:r>
        <w:t xml:space="preserve">Au décès d'un associé, la société continue avec ses héritiers selon [Continuation au décès]. Les héritiers justifient leurs droits et désignent, en cas d'indivision, un représentant unique à l'égard de la société.</w:t>
      </w:r>
    </w:p>
    <w:p>
      <w:pPr>
        <w:pStyle w:val="Variante"/>
      </w:pPr>
      <w:r>
        <w:t xml:space="preserve">Variante : Continuation entre associés survivants</w:t>
      </w:r>
    </w:p>
    <w:p>
      <w:pPr>
        <w:pStyle w:val="Corps"/>
      </w:pPr>
      <w:r>
        <w:t xml:space="preserve">Au décès d'un associé, la société continue entre les associés survivants. Les ayants droit du défunt reçoivent la valeur des droits sociaux déterminée au jour du décès selon [Méthode de fixation du prix] et, en cas de désaccord, par l'expertise légalement applicable.</w:t>
      </w:r>
    </w:p>
    <w:p>
      <w:pPr>
        <w:pStyle w:val="Variante"/>
      </w:pPr>
      <w:r>
        <w:t xml:space="preserve">Variante : Continuation avec des bénéficiaires désignés</w:t>
      </w:r>
    </w:p>
    <w:p>
      <w:pPr>
        <w:pStyle w:val="Corps"/>
      </w:pPr>
      <w:r>
        <w:t xml:space="preserve">Au décès d'un associé, la société continue avec [Bénéficiaires désignés] selon [Continuation au décès]. La désignation, l'agrément éventuel et la valeur due aux personnes non admises sont contrôlés au regard de la succession.</w:t>
      </w:r>
    </w:p>
    <w:p>
      <w:pPr>
        <w:pStyle w:val="Intertitre"/>
      </w:pPr>
      <w:r>
        <w:t xml:space="preserve">Régularisation du nombre d'associés</w:t>
      </w:r>
    </w:p>
    <w:p>
      <w:pPr>
        <w:pStyle w:val="Corps"/>
      </w:pPr>
      <w:r>
        <w:t xml:space="preserve">Toute opération portant le nombre d’associés au-delà de [Nombre maximal d’associés] déclenche un suivi de régularisation. La gérance organise, dans les [Délai de régularisation du nombre d’associés] mois, une réduction du nombre d’associés ou une transformation régulière.</w:t>
      </w:r>
    </w:p>
    <w:p>
      <w:pPr>
        <w:pStyle w:val="Intertitre"/>
      </w:pPr>
      <w:r>
        <w:t xml:space="preserve">Organisation de la gérance</w:t>
      </w:r>
    </w:p>
    <w:p>
      <w:pPr>
        <w:pStyle w:val="Corps"/>
      </w:pPr>
      <w:r>
        <w:t xml:space="preserve">La société est administrée et représentée par une ou plusieurs personnes physiques exerçant la fonction de Gérant. La qualité d'associé n'est pas requise sauf choix exprès des présents statuts ou de l'acte de nomination.</w:t>
      </w:r>
    </w:p>
    <w:p>
      <w:pPr>
        <w:pStyle w:val="Intertitre"/>
      </w:pPr>
      <w:r>
        <w:t xml:space="preserve">Conditions d'exercice de la gérance</w:t>
      </w:r>
    </w:p>
    <w:p>
      <w:pPr>
        <w:pStyle w:val="Corps"/>
      </w:pPr>
      <w:r>
        <w:t xml:space="preserve">Le Gérant doit être une personne physique capable, non frappée d'interdiction ou d'incompatibilité et, pour une activité réglementée, remplir les conditions professionnelles applicables. Ces éléments sont vérifiés avant toute entrée en fonction.</w:t>
      </w:r>
    </w:p>
    <w:p>
      <w:pPr>
        <w:pStyle w:val="Intertitre"/>
      </w:pPr>
      <w:r>
        <w:t xml:space="preserve">Support de nomination du Gérant — choisir une seule variante</w:t>
      </w:r>
    </w:p>
    <w:p>
      <w:pPr>
        <w:pStyle w:val="Variante"/>
      </w:pPr>
      <w:r>
        <w:t xml:space="preserve">Variante : Nomination du Gérant dans les statuts</w:t>
      </w:r>
    </w:p>
    <w:p>
      <w:pPr>
        <w:pStyle w:val="Corps"/>
      </w:pPr>
      <w:r>
        <w:t xml:space="preserve">[Identité du Gérant], demeurant [Adresse du Gérant], est nommé Gérant par les présents statuts. Son état civil utile est [État civil du Gérant], ses coordonnées sont [Coordonnées du Gérant] et son acceptation résulte de [Acceptation des fonctions].</w:t>
      </w:r>
    </w:p>
    <w:p>
      <w:pPr>
        <w:pStyle w:val="Variante"/>
      </w:pPr>
      <w:r>
        <w:t xml:space="preserve">Variante : Nomination du Gérant par acte séparé</w:t>
      </w:r>
    </w:p>
    <w:p>
      <w:pPr>
        <w:pStyle w:val="Corps"/>
      </w:pPr>
      <w:r>
        <w:t xml:space="preserve">Le premier Gérant est nommé par un acte distinct adopté selon la majorité légale et conservé avec le dossier constitutif. Cet acte identifie [Identité du Gérant], constate [Acceptation des fonctions] et précise la durée ainsi que la rémunération éventuelle.</w:t>
      </w:r>
    </w:p>
    <w:p>
      <w:pPr>
        <w:pStyle w:val="Intertitre"/>
      </w:pPr>
      <w:r>
        <w:t xml:space="preserve">Nombre de Gérants — choisir une seule variante</w:t>
      </w:r>
    </w:p>
    <w:p>
      <w:pPr>
        <w:pStyle w:val="Variante"/>
      </w:pPr>
      <w:r>
        <w:t xml:space="preserve">Variante : Gérance unique</w:t>
      </w:r>
    </w:p>
    <w:p>
      <w:pPr>
        <w:pStyle w:val="Corps"/>
      </w:pPr>
      <w:r>
        <w:t xml:space="preserve">La société est dirigée par un Gérant unique. Toute vacance est traitée sans délai par l'organe compétent afin d'assurer la représentation et la continuité des formalités sociales.</w:t>
      </w:r>
    </w:p>
    <w:p>
      <w:pPr>
        <w:pStyle w:val="Variante"/>
      </w:pPr>
      <w:r>
        <w:t xml:space="preserve">Variante : Co-Gérance</w:t>
      </w:r>
    </w:p>
    <w:p>
      <w:pPr>
        <w:pStyle w:val="Corps"/>
      </w:pPr>
      <w:r>
        <w:t xml:space="preserve">La société est dirigée par plusieurs Gérants. Chacun dispose séparément des pouvoirs légaux à l'égard des tiers ; leur coordination interne est organisée par [Coordination des Co-Gérants] et ne peut rendre opposable aux tiers une limitation statutaire.</w:t>
      </w:r>
    </w:p>
    <w:p>
      <w:pPr>
        <w:pStyle w:val="Intertitre"/>
      </w:pPr>
      <w:r>
        <w:t xml:space="preserve">Durée du mandat de Gérance — choisir une seule variante</w:t>
      </w:r>
    </w:p>
    <w:p>
      <w:pPr>
        <w:pStyle w:val="Variante"/>
      </w:pPr>
      <w:r>
        <w:t xml:space="preserve">Variante : Gérance pour la durée de la société</w:t>
      </w:r>
    </w:p>
    <w:p>
      <w:pPr>
        <w:pStyle w:val="Corps"/>
      </w:pPr>
      <w:r>
        <w:t xml:space="preserve">Le Gérant est nommé pour la durée de la société, sous réserve de démission, révocation, incapacité, interdiction ou autre cause de cessation régulièrement constatée.</w:t>
      </w:r>
    </w:p>
    <w:p>
      <w:pPr>
        <w:pStyle w:val="Variante"/>
      </w:pPr>
      <w:r>
        <w:t xml:space="preserve">Variante : Gérance à durée déterminée</w:t>
      </w:r>
    </w:p>
    <w:p>
      <w:pPr>
        <w:pStyle w:val="Corps"/>
      </w:pPr>
      <w:r>
        <w:t xml:space="preserve">Le Gérant est nommé pour [Durée du mandat du Gérant] années. À l'échéance, le mandat cesse sauf renouvellement régulier ; le Gérant demeure tenu d'assurer les mesures conservatoires nécessaires jusqu'à la prise d'effet de son remplacement.</w:t>
      </w:r>
    </w:p>
    <w:p>
      <w:pPr>
        <w:pStyle w:val="Intertitre"/>
      </w:pPr>
      <w:r>
        <w:t xml:space="preserve">Clause optionnelle : Gérant associé</w:t>
      </w:r>
    </w:p>
    <w:p>
      <w:pPr>
        <w:pStyle w:val="Corps"/>
      </w:pPr>
      <w:r>
        <w:t xml:space="preserve">Le Gérant détient des parts sociales et exerce ses droits d'associé séparément de son mandat. Les règles de vote, de conventions réglementées et de conflits d'intérêts demeurent applicables à chacune de ses qualités.</w:t>
      </w:r>
    </w:p>
    <w:p>
      <w:pPr>
        <w:pStyle w:val="Intertitre"/>
      </w:pPr>
      <w:r>
        <w:t xml:space="preserve">Clause optionnelle : Gérant non associé</w:t>
      </w:r>
    </w:p>
    <w:p>
      <w:pPr>
        <w:pStyle w:val="Corps"/>
      </w:pPr>
      <w:r>
        <w:t xml:space="preserve">Le Gérant n'est pas associé. Son mandat ne lui confère aucun droit sur les parts, les bénéfices ou le vote et toute convention conclue avec la société suit le régime qui lui est applicable.</w:t>
      </w:r>
    </w:p>
    <w:p>
      <w:pPr>
        <w:pStyle w:val="Intertitre"/>
      </w:pPr>
      <w:r>
        <w:t xml:space="preserve">Pouvoirs à l'égard des tiers</w:t>
      </w:r>
    </w:p>
    <w:p>
      <w:pPr>
        <w:pStyle w:val="Corps"/>
      </w:pPr>
      <w:r>
        <w:t xml:space="preserve">À l'égard des tiers, le Gérant dispose des pouvoirs les plus étendus pour agir au nom de la société, sous réserve des compétences attribuées aux associés. La société peut être engagée par un acte dépassant l'objet social dans les conditions prévues par la loi.</w:t>
      </w:r>
    </w:p>
    <w:p>
      <w:pPr>
        <w:pStyle w:val="Intertitre"/>
      </w:pPr>
      <w:r>
        <w:t xml:space="preserve">Clause optionnelle : Limites internes de la gérance</w:t>
      </w:r>
    </w:p>
    <w:p>
      <w:pPr>
        <w:pStyle w:val="Corps"/>
      </w:pPr>
      <w:r>
        <w:t xml:space="preserve">Dans les rapports internes, les actes décrits par [Limites internes des pouvoirs] et ceux excédant [Seuil d'autorisation de la gérance] exigent une autorisation préalable. Ces limites n'étant pas opposables aux tiers, leur violation est traitée dans les rapports entre la société, le Gérant et les associés.</w:t>
      </w:r>
    </w:p>
    <w:p>
      <w:pPr>
        <w:pStyle w:val="Intertitre"/>
      </w:pPr>
      <w:r>
        <w:t xml:space="preserve">Clause optionnelle : Opposition entre Co-Gérants</w:t>
      </w:r>
    </w:p>
    <w:p>
      <w:pPr>
        <w:pStyle w:val="Corps"/>
      </w:pPr>
      <w:r>
        <w:t xml:space="preserve">Chaque Co-Gérant informe les autres des actes significatifs selon [Coordination des Co-Gérants]. L'opposition d'un Gérant à l'acte d'un autre est sans effet envers les tiers, sauf connaissance établie de cette opposition par le tiers concerné.</w:t>
      </w:r>
    </w:p>
    <w:p>
      <w:pPr>
        <w:pStyle w:val="Intertitre"/>
      </w:pPr>
      <w:r>
        <w:t xml:space="preserve">Clause optionnelle : Rémunération de la gérance</w:t>
      </w:r>
    </w:p>
    <w:p>
      <w:pPr>
        <w:pStyle w:val="Corps"/>
      </w:pPr>
      <w:r>
        <w:t xml:space="preserve">La rémunération du Gérant est déterminée selon [Rémunération du Gérant] par une décision distincte et traçable. Cette rémunération n'emporte ni contrat de travail ni remboursement automatique de dépenses.</w:t>
      </w:r>
    </w:p>
    <w:p>
      <w:pPr>
        <w:pStyle w:val="Intertitre"/>
      </w:pPr>
      <w:r>
        <w:t xml:space="preserve">Frais de la gérance</w:t>
      </w:r>
    </w:p>
    <w:p>
      <w:pPr>
        <w:pStyle w:val="Corps"/>
      </w:pPr>
      <w:r>
        <w:t xml:space="preserve">Les dépenses engagées dans l'intérêt de la société sont remboursées selon [Remboursement des frais de gérance], sur justificatifs et après le contrôle ou l'approbation requis. Les dépenses personnelles restent à la charge du Gérant.</w:t>
      </w:r>
    </w:p>
    <w:p>
      <w:pPr>
        <w:pStyle w:val="Intertitre"/>
      </w:pPr>
      <w:r>
        <w:t xml:space="preserve">Clause optionnelle : Délégations limitées</w:t>
      </w:r>
    </w:p>
    <w:p>
      <w:pPr>
        <w:pStyle w:val="Corps"/>
      </w:pPr>
      <w:r>
        <w:t xml:space="preserve">Le Gérant peut consentir une délégation spéciale conformément à [Délégation de pouvoirs]. La délégation identifie son objet, sa durée, son titulaire, ses moyens et son contrôle sans transférer les compétences légalement réservées aux associés.</w:t>
      </w:r>
    </w:p>
    <w:p>
      <w:pPr>
        <w:pStyle w:val="Intertitre"/>
      </w:pPr>
      <w:r>
        <w:t xml:space="preserve">Diligence et responsabilité du Gérant</w:t>
      </w:r>
    </w:p>
    <w:p>
      <w:pPr>
        <w:pStyle w:val="Corps"/>
      </w:pPr>
      <w:r>
        <w:t xml:space="preserve">Le Gérant agit dans l'intérêt social, respecte la loi et les statuts, tient les associés informés et conserve les preuves de ses décisions. Il répond des infractions, violations statutaires et fautes de gestion dans les conditions légales.</w:t>
      </w:r>
    </w:p>
    <w:p>
      <w:pPr>
        <w:pStyle w:val="Intertitre"/>
      </w:pPr>
      <w:r>
        <w:t xml:space="preserve">Emprunts, découverts et garanties interdits</w:t>
      </w:r>
    </w:p>
    <w:p>
      <w:pPr>
        <w:pStyle w:val="Corps"/>
      </w:pPr>
      <w:r>
        <w:t xml:space="preserve">La société ne consent pas aux Gérants ou associés personnes physiques, ni aux personnes visées par la loi, un emprunt, un découvert ou une garantie prohibés. Toute opération de financement interne est préalablement qualifiée.</w:t>
      </w:r>
    </w:p>
    <w:p>
      <w:pPr>
        <w:pStyle w:val="Intertitre"/>
      </w:pPr>
      <w:r>
        <w:t xml:space="preserve">Révocation du Gérant — choisir une seule variante</w:t>
      </w:r>
    </w:p>
    <w:p>
      <w:pPr>
        <w:pStyle w:val="Variante"/>
      </w:pPr>
      <w:r>
        <w:t xml:space="preserve">Variante : Révocation du Gérant à la majorité légale</w:t>
      </w:r>
    </w:p>
    <w:p>
      <w:pPr>
        <w:pStyle w:val="Corps"/>
      </w:pPr>
      <w:r>
        <w:t xml:space="preserve">Dans la SARL pluripersonnelle, le Gérant est révocable dans les conditions de majorité de l’article L223-29 du Code de commerce. Une révocation sans juste motif peut ouvrir droit à réparation et la révocation judiciaire pour cause légitime demeure possible.</w:t>
      </w:r>
    </w:p>
    <w:p>
      <w:pPr>
        <w:pStyle w:val="Variante"/>
      </w:pPr>
      <w:r>
        <w:t xml:space="preserve">Variante : Révocation du Gérant à une majorité statutaire renforcée</w:t>
      </w:r>
    </w:p>
    <w:p>
      <w:pPr>
        <w:pStyle w:val="Corps"/>
      </w:pPr>
      <w:r>
        <w:t xml:space="preserve">Les statuts fixent à [Majorité renforcée de révocation] % des parts la majorité requise pour révoquer le Gérant, cette majorité étant plus forte que la majorité légale conformément à l’article L223-25 du Code de commerce. Une révocation sans juste motif peut ouvrir droit à réparation et la révocation judiciaire pour cause légitime demeure possible.</w:t>
      </w:r>
    </w:p>
    <w:p>
      <w:pPr>
        <w:pStyle w:val="Variante"/>
      </w:pPr>
      <w:r>
        <w:t xml:space="preserve">Variante : Révocation du Gérant par l’associé unique</w:t>
      </w:r>
    </w:p>
    <w:p>
      <w:pPr>
        <w:pStyle w:val="Corps"/>
      </w:pPr>
      <w:r>
        <w:t xml:space="preserve">Dans l’EURL, l’associé unique décide de la révocation du Gérant et consigne sa décision. Une révocation sans juste motif peut ouvrir droit à réparation et la révocation judiciaire pour cause légitime demeure possible.</w:t>
      </w:r>
    </w:p>
    <w:p>
      <w:pPr>
        <w:pStyle w:val="Intertitre"/>
      </w:pPr>
      <w:r>
        <w:t xml:space="preserve">Démission du Gérant</w:t>
      </w:r>
    </w:p>
    <w:p>
      <w:pPr>
        <w:pStyle w:val="Corps"/>
      </w:pPr>
      <w:r>
        <w:t xml:space="preserve">Le Gérant notifie sa démission avec un préavis de [Préavis de démission], sauf motif légitime ou impossibilité. Il remet les documents sociaux, signale les échéances et facilite la désignation d'un successeur sans différer indûment la cessation de ses fonctions.</w:t>
      </w:r>
    </w:p>
    <w:p>
      <w:pPr>
        <w:pStyle w:val="Intertitre"/>
      </w:pPr>
      <w:r>
        <w:t xml:space="preserve">Vacance de la gérance</w:t>
      </w:r>
    </w:p>
    <w:p>
      <w:pPr>
        <w:pStyle w:val="Corps"/>
      </w:pPr>
      <w:r>
        <w:t xml:space="preserve">Lorsque la société est dépourvue de Gérant ou que le Gérant unique ne peut exercer ses fonctions, tout associé ou le commissaire aux comptes peut provoquer la réunion limitée à la désignation d'un ou plusieurs Gérants dans les conditions légales.</w:t>
      </w:r>
    </w:p>
    <w:p>
      <w:pPr>
        <w:pStyle w:val="Intertitre"/>
      </w:pPr>
      <w:r>
        <w:t xml:space="preserve">Clause optionnelle : Décisions de la collectivité des associés</w:t>
      </w:r>
    </w:p>
    <w:p>
      <w:pPr>
        <w:pStyle w:val="Corps"/>
      </w:pPr>
      <w:r>
        <w:t xml:space="preserve">Dans la SARL pluripersonnelle, les associés exercent collectivement les compétences que la loi ou les statuts ne confient pas à la gérance. Chaque associé participe aux décisions et dispose d'un nombre de voix égal au nombre de ses parts.</w:t>
      </w:r>
    </w:p>
    <w:p>
      <w:pPr>
        <w:pStyle w:val="Intertitre"/>
      </w:pPr>
      <w:r>
        <w:t xml:space="preserve">Clause optionnelle : Décisions de l'associé unique</w:t>
      </w:r>
    </w:p>
    <w:p>
      <w:pPr>
        <w:pStyle w:val="Corps"/>
      </w:pPr>
      <w:r>
        <w:t xml:space="preserve">Dans l'EURL, l'associé unique exerce personnellement les pouvoirs attribués à l'assemblée. Il ne peut déléguer ces pouvoirs et consigne chaque décision dans le registre prévu à cet effet.</w:t>
      </w:r>
    </w:p>
    <w:p>
      <w:pPr>
        <w:pStyle w:val="Intertitre"/>
      </w:pPr>
      <w:r>
        <w:t xml:space="preserve">Compétences réservées</w:t>
      </w:r>
    </w:p>
    <w:p>
      <w:pPr>
        <w:pStyle w:val="Corps"/>
      </w:pPr>
      <w:r>
        <w:t xml:space="preserve">Relèvent notamment des associés ou de l'associé unique l'approbation des comptes, l'affectation du résultat, la nomination ou révocation de la gérance, les modifications statutaires, les opérations sur le capital, la transformation et la dissolution anticipée selon leurs régimes propres.</w:t>
      </w:r>
    </w:p>
    <w:p>
      <w:pPr>
        <w:pStyle w:val="Intertitre"/>
      </w:pPr>
      <w:r>
        <w:t xml:space="preserve">Clause optionnelle : Convocation des associés</w:t>
      </w:r>
    </w:p>
    <w:p>
      <w:pPr>
        <w:pStyle w:val="Corps"/>
      </w:pPr>
      <w:r>
        <w:t xml:space="preserve">Les associés sont convoqués selon [Mode de convocation] avec un délai de [Délai de convocation]. La convocation indique l'ordre du jour, les projets de résolution, les modalités de participation et les documents nécessaires à un vote éclairé.</w:t>
      </w:r>
    </w:p>
    <w:p>
      <w:pPr>
        <w:pStyle w:val="Intertitre"/>
      </w:pPr>
      <w:r>
        <w:t xml:space="preserve">Clause optionnelle : Points et résolutions proposés par les associés</w:t>
      </w:r>
    </w:p>
    <w:p>
      <w:pPr>
        <w:pStyle w:val="Corps"/>
      </w:pPr>
      <w:r>
        <w:t xml:space="preserve">Les associés représentant la fraction légale du capital peuvent demander l'inscription de points ou projets de résolution à l'ordre du jour. La gérance les communique aux autres associés avec les informations requises et sans en altérer le sens.</w:t>
      </w:r>
    </w:p>
    <w:p>
      <w:pPr>
        <w:pStyle w:val="Intertitre"/>
      </w:pPr>
      <w:r>
        <w:t xml:space="preserve">Clause optionnelle : Participation et représentation</w:t>
      </w:r>
    </w:p>
    <w:p>
      <w:pPr>
        <w:pStyle w:val="Corps"/>
      </w:pPr>
      <w:r>
        <w:t xml:space="preserve">Tout associé participe aux décisions et se fait représenter dans les limites légales. Les pouvoirs sont vérifiés pour chaque séance ; un mandataire ne reçoit pas davantage de voix que celles régulièrement attachées aux parts représentées.</w:t>
      </w:r>
    </w:p>
    <w:p>
      <w:pPr>
        <w:pStyle w:val="Intertitre"/>
      </w:pPr>
      <w:r>
        <w:t xml:space="preserve">Clause optionnelle : Consultation écrite</w:t>
      </w:r>
    </w:p>
    <w:p>
      <w:pPr>
        <w:pStyle w:val="Corps"/>
      </w:pPr>
      <w:r>
        <w:t xml:space="preserve">Les décisions qui peuvent légalement être prises par consultation écrite sont soumises aux associés avec leurs documents et projets de résolution. Ils disposent de [Délai de consultation écrite] pour répondre ; la preuve de remise et chaque réponse sont conservées.</w:t>
      </w:r>
    </w:p>
    <w:p>
      <w:pPr>
        <w:pStyle w:val="Intertitre"/>
      </w:pPr>
      <w:r>
        <w:t xml:space="preserve">Clause optionnelle : Consentement unanime dans un acte</w:t>
      </w:r>
    </w:p>
    <w:p>
      <w:pPr>
        <w:pStyle w:val="Corps"/>
      </w:pPr>
      <w:r>
        <w:t xml:space="preserve">Les décisions admissibles peuvent résulter du consentement de tous les associés exprimé dans un acte, y compris électronique. L'acte identifie chaque associé, reproduit les résolutions et constate un consentement sans réserve avant son inscription au registre.</w:t>
      </w:r>
    </w:p>
    <w:p>
      <w:pPr>
        <w:pStyle w:val="Intertitre"/>
      </w:pPr>
      <w:r>
        <w:t xml:space="preserve">Clause optionnelle : Participation à distance</w:t>
      </w:r>
    </w:p>
    <w:p>
      <w:pPr>
        <w:pStyle w:val="Corps"/>
      </w:pPr>
      <w:r>
        <w:t xml:space="preserve">La participation à distance est organisée au moyen de [Système de participation à distance] pour les décisions qui l'autorisent. Le dispositif garantit l'identification, la continuité des débats, le vote et la conservation de la preuve, sans s'appliquer aux décisions légalement exclues.</w:t>
      </w:r>
    </w:p>
    <w:p>
      <w:pPr>
        <w:pStyle w:val="Intertitre"/>
      </w:pPr>
      <w:r>
        <w:t xml:space="preserve">Clause optionnelle : Décisions ordinaires</w:t>
      </w:r>
    </w:p>
    <w:p>
      <w:pPr>
        <w:pStyle w:val="Corps"/>
      </w:pPr>
      <w:r>
        <w:t xml:space="preserve">Les décisions ordinaires sont adoptées par un ou plusieurs associés représentant plus de la moitié des parts, la règle interne étant exprimée par [Majorité des décisions ordinaires] %. Les régimes spéciaux de nomination, révocation, conventions et comptes restent applicables.</w:t>
      </w:r>
    </w:p>
    <w:p>
      <w:pPr>
        <w:pStyle w:val="Intertitre"/>
      </w:pPr>
      <w:r>
        <w:t xml:space="preserve">Clause optionnelle : Seconde consultation ordinaire</w:t>
      </w:r>
    </w:p>
    <w:p>
      <w:pPr>
        <w:pStyle w:val="Corps"/>
      </w:pPr>
      <w:r>
        <w:t xml:space="preserve">Si la majorité requise n'est pas obtenue, [Règle de seconde consultation]. La nouvelle convocation ou consultation identifie qu'il s'agit d'une seconde décision et applique la majorité des votes émis lorsque cette voie n'a pas été statutairement écartée.</w:t>
      </w:r>
    </w:p>
    <w:p>
      <w:pPr>
        <w:pStyle w:val="Intertitre"/>
      </w:pPr>
      <w:r>
        <w:t xml:space="preserve">Clause optionnelle : Modifications statutaires</w:t>
      </w:r>
    </w:p>
    <w:p>
      <w:pPr>
        <w:pStyle w:val="Corps"/>
      </w:pPr>
      <w:r>
        <w:t xml:space="preserve">Les modifications statutaires soumises au régime de quorum renseigné exigent la présence ou la représentation de [Quorum extraordinaire en première consultation] % des parts en première consultation et de [Quorum extraordinaire en seconde consultation] % en seconde consultation, puis une majorité de [Majorité des modifications statutaires] % des parts présentes ou représentées. Les décisions soumises à une majorité spéciale demeurent régies par les dispositions impératives applicables.</w:t>
      </w:r>
    </w:p>
    <w:p>
      <w:pPr>
        <w:pStyle w:val="Intertitre"/>
      </w:pPr>
      <w:r>
        <w:t xml:space="preserve">Décision de transfert du siège</w:t>
      </w:r>
    </w:p>
    <w:p>
      <w:pPr>
        <w:pStyle w:val="Corps"/>
      </w:pPr>
      <w:r>
        <w:t xml:space="preserve">Le transfert décidé par la gérance est soumis à la ratification de la collectivité des associés ou de l'associé unique selon le régime applicable. La décision met à jour l'adresse et donne pouvoir pour les formalités.</w:t>
      </w:r>
    </w:p>
    <w:p>
      <w:pPr>
        <w:pStyle w:val="Intertitre"/>
      </w:pPr>
      <w:r>
        <w:t xml:space="preserve">Augmentation par incorporation de réserves</w:t>
      </w:r>
    </w:p>
    <w:p>
      <w:pPr>
        <w:pStyle w:val="Corps"/>
      </w:pPr>
      <w:r>
        <w:t xml:space="preserve">Dans la SARL pluripersonnelle, l'augmentation du capital par incorporation de bénéfices ou de réserves est décidée par les associés représentant au moins la moitié des parts. Dans l'EURL, elle relève de l'associé unique. Les montants incorporables et la nouvelle répartition sont établis avant la décision.</w:t>
      </w:r>
    </w:p>
    <w:p>
      <w:pPr>
        <w:pStyle w:val="Intertitre"/>
      </w:pPr>
      <w:r>
        <w:t xml:space="preserve">Décisions exigeant l'unanimité</w:t>
      </w:r>
    </w:p>
    <w:p>
      <w:pPr>
        <w:pStyle w:val="Corps"/>
      </w:pPr>
      <w:r>
        <w:t xml:space="preserve">Aucune majorité ne peut obliger un associé à augmenter son engagement. Le changement de nationalité et les autres décisions légalement soumises à l'unanimité ne peuvent être adoptés par une majorité statutaire de substitution.</w:t>
      </w:r>
    </w:p>
    <w:p>
      <w:pPr>
        <w:pStyle w:val="Intertitre"/>
      </w:pPr>
      <w:r>
        <w:t xml:space="preserve">Information préalable des associés</w:t>
      </w:r>
    </w:p>
    <w:p>
      <w:pPr>
        <w:pStyle w:val="Corps"/>
      </w:pPr>
      <w:r>
        <w:t xml:space="preserve">Les associés reçoivent [Documents d'information des associés] dans les délais applicables. L'accès aux documents, les questions écrites et les réponses de la gérance sont organisés de manière traçable sans restreindre les droits légaux d'information.</w:t>
      </w:r>
    </w:p>
    <w:p>
      <w:pPr>
        <w:pStyle w:val="Intertitre"/>
      </w:pPr>
      <w:r>
        <w:t xml:space="preserve">Procès-verbaux et registre</w:t>
      </w:r>
    </w:p>
    <w:p>
      <w:pPr>
        <w:pStyle w:val="Corps"/>
      </w:pPr>
      <w:r>
        <w:t xml:space="preserve">[Responsable du registre des décisions] établit et conserve les procès-verbaux et décisions sur un registre régulier. Chaque inscription mentionne date, mode de décision, associés participants, parts représentées, documents, texte des résolutions et résultat de chaque vote.</w:t>
      </w:r>
    </w:p>
    <w:p>
      <w:pPr>
        <w:pStyle w:val="Intertitre"/>
      </w:pPr>
      <w:r>
        <w:t xml:space="preserve">Clause optionnelle : Absence de délégation des décisions de l'associé unique</w:t>
      </w:r>
    </w:p>
    <w:p>
      <w:pPr>
        <w:pStyle w:val="Corps"/>
      </w:pPr>
      <w:r>
        <w:t xml:space="preserve">L'associé unique ne délègue pas les pouvoirs qu'il exerce à la place de l'assemblée. Un mandataire peut seulement matérialiser une décision déjà prise ou accomplir une formalité précisément autorisée.</w:t>
      </w:r>
    </w:p>
    <w:p>
      <w:pPr>
        <w:pStyle w:val="Intertitre"/>
      </w:pPr>
      <w:r>
        <w:t xml:space="preserve">Clause optionnelle : Conventions réglementées en SARL</w:t>
      </w:r>
    </w:p>
    <w:p>
      <w:pPr>
        <w:pStyle w:val="Corps"/>
      </w:pPr>
      <w:r>
        <w:t xml:space="preserve">Le Gérant ou le commissaire aux comptes présente aux associés un rapport sur les conventions conclues directement ou par personne interposée entre la société et un Gérant ou associé. L'intéressé ne prend pas part au vote et ses parts ne sont pas retenues pour la majorité.</w:t>
      </w:r>
    </w:p>
    <w:p>
      <w:pPr>
        <w:pStyle w:val="Intertitre"/>
      </w:pPr>
      <w:r>
        <w:t xml:space="preserve">Clause optionnelle : Conventions réglementées en EURL</w:t>
      </w:r>
    </w:p>
    <w:p>
      <w:pPr>
        <w:pStyle w:val="Corps"/>
      </w:pPr>
      <w:r>
        <w:t xml:space="preserve">Lorsqu'une convention est conclue entre la société et l'associé unique, elle est mentionnée au registre des décisions avec son objet et ses conditions. La qualité d'associé unique ne dispense pas de distinguer le patrimoine et l'intérêt de la société.</w:t>
      </w:r>
    </w:p>
    <w:p>
      <w:pPr>
        <w:pStyle w:val="Intertitre"/>
      </w:pPr>
      <w:r>
        <w:t xml:space="preserve">Recensement des conventions</w:t>
      </w:r>
    </w:p>
    <w:p>
      <w:pPr>
        <w:pStyle w:val="Corps"/>
      </w:pPr>
      <w:r>
        <w:t xml:space="preserve">Les conventions impliquant un Gérant, un associé ou une personne interposée sont recensées dans [Suivi des conventions réglementées] avant leur conclusion ou leur examen. La qualification détermine la procédure, le rapport et les personnes exclues du vote.</w:t>
      </w:r>
    </w:p>
    <w:p>
      <w:pPr>
        <w:pStyle w:val="Intertitre"/>
      </w:pPr>
      <w:r>
        <w:t xml:space="preserve">Opérations courantes à conditions normales</w:t>
      </w:r>
    </w:p>
    <w:p>
      <w:pPr>
        <w:pStyle w:val="Corps"/>
      </w:pPr>
      <w:r>
        <w:t xml:space="preserve">Le régime des conventions réglementées ne s'applique pas aux opérations courantes conclues à des conditions normales. Cette exception est documentée par la nature récurrente de l'opération et une comparaison objective de ses conditions.</w:t>
      </w:r>
    </w:p>
    <w:p>
      <w:pPr>
        <w:pStyle w:val="Intertitre"/>
      </w:pPr>
      <w:r>
        <w:t xml:space="preserve">Conventions interdites</w:t>
      </w:r>
    </w:p>
    <w:p>
      <w:pPr>
        <w:pStyle w:val="Corps"/>
      </w:pPr>
      <w:r>
        <w:t xml:space="preserve">Les emprunts, découverts, cautionnements ou avals interdits au profit des Gérants, associés personnes physiques et personnes liées ne peuvent être autorisés par une décision sociale ni régularisés par une clause statutaire.</w:t>
      </w:r>
    </w:p>
    <w:p>
      <w:pPr>
        <w:pStyle w:val="Intertitre"/>
      </w:pPr>
      <w:r>
        <w:t xml:space="preserve">Régime de commissariat aux comptes — choisir une seule variante</w:t>
      </w:r>
    </w:p>
    <w:p>
      <w:pPr>
        <w:pStyle w:val="Variante"/>
      </w:pPr>
      <w:r>
        <w:t xml:space="preserve">Variante : Contrôle des seuils sans nomination initiale</w:t>
      </w:r>
    </w:p>
    <w:p>
      <w:pPr>
        <w:pStyle w:val="Corps"/>
      </w:pPr>
      <w:r>
        <w:t xml:space="preserve">Aucun commissaire aux comptes n'est nommé à la constitution sur la base de [Contrôle des seuils d'audit]. Cette conclusion est réévaluée à chaque clôture et lors de toute modification de la structure ou du contrôle de la société.</w:t>
      </w:r>
    </w:p>
    <w:p>
      <w:pPr>
        <w:pStyle w:val="Variante"/>
      </w:pPr>
      <w:r>
        <w:t xml:space="preserve">Variante : Nomination obligatoire d'un commissaire aux comptes</w:t>
      </w:r>
    </w:p>
    <w:p>
      <w:pPr>
        <w:pStyle w:val="Corps"/>
      </w:pPr>
      <w:r>
        <w:t xml:space="preserve">La nomination est obligatoire selon [Contrôle des seuils d'audit]. [Commissaire aux comptes] est nommé pour [Durée du mandat du commissaire] exercices, sous réserve de son acceptation et des vérifications d'indépendance.</w:t>
      </w:r>
    </w:p>
    <w:p>
      <w:pPr>
        <w:pStyle w:val="Variante"/>
      </w:pPr>
      <w:r>
        <w:t xml:space="preserve">Variante : Nomination volontaire d'un commissaire aux comptes</w:t>
      </w:r>
    </w:p>
    <w:p>
      <w:pPr>
        <w:pStyle w:val="Corps"/>
      </w:pPr>
      <w:r>
        <w:t xml:space="preserve">Les associés décident volontairement de nommer [Commissaire aux comptes] pour [Durée du mandat du commissaire] exercices. La décision précise l'étendue du mandat et demeure distincte d'une conclusion sur le franchissement des seuils.</w:t>
      </w:r>
    </w:p>
    <w:p>
      <w:pPr>
        <w:pStyle w:val="Variante"/>
      </w:pPr>
      <w:r>
        <w:t xml:space="preserve">Variante : Demande judiciaire d’associés représentant au moins un dixième du capital</w:t>
      </w:r>
    </w:p>
    <w:p>
      <w:pPr>
        <w:pStyle w:val="Corps"/>
      </w:pPr>
      <w:r>
        <w:t xml:space="preserve">Des associés représentant [Capital des associés demandeurs] % du capital demandent en justice la nomination d’un commissaire aux comptes. La requête, la fraction de capital et la décision judiciaire sont contrôlées avant de constater la nomination.</w:t>
      </w:r>
    </w:p>
    <w:p>
      <w:pPr>
        <w:pStyle w:val="Variante"/>
      </w:pPr>
      <w:r>
        <w:t xml:space="preserve">Variante : Demande motivée d’associés représentant au moins un tiers du capital</w:t>
      </w:r>
    </w:p>
    <w:p>
      <w:pPr>
        <w:pStyle w:val="Corps"/>
      </w:pPr>
      <w:r>
        <w:t xml:space="preserve">Des associés représentant [Capital des associés demandeurs] % du capital adressent à la société une demande motivée de nomination. [Commissaire aux comptes] est nommé commissaire aux comptes pour [Durée du mandat CAC demandé par un tiers du capital] exercices, sous réserve de son acceptation et du contrôle des incompatibilités.</w:t>
      </w:r>
    </w:p>
    <w:p>
      <w:pPr>
        <w:pStyle w:val="Intertitre"/>
      </w:pPr>
      <w:r>
        <w:t xml:space="preserve">Exercice social</w:t>
      </w:r>
    </w:p>
    <w:p>
      <w:pPr>
        <w:pStyle w:val="Corps"/>
      </w:pPr>
      <w:r>
        <w:t xml:space="preserve">Chaque exercice s'ouvre le [Ouverture de l'exercice social] et se clôture le [Clôture de l'exercice social]. Par exception, le premier exercice prendra fin le [Clôture du premier exercice] après l'immatriculation.</w:t>
      </w:r>
    </w:p>
    <w:p>
      <w:pPr>
        <w:pStyle w:val="Intertitre"/>
      </w:pPr>
      <w:r>
        <w:t xml:space="preserve">Établissement des comptes annuels</w:t>
      </w:r>
    </w:p>
    <w:p>
      <w:pPr>
        <w:pStyle w:val="Corps"/>
      </w:pPr>
      <w:r>
        <w:t xml:space="preserve">La gérance établit l'inventaire et les comptes annuels selon [Calendrier d'établissement des comptes]. Les méthodes, estimations et pièces sont conservées afin que les associés et, le cas échéant, le commissaire aux comptes disposent d'une information cohérente.</w:t>
      </w:r>
    </w:p>
    <w:p>
      <w:pPr>
        <w:pStyle w:val="Intertitre"/>
      </w:pPr>
      <w:r>
        <w:t xml:space="preserve">Clause optionnelle : Rapport de gestion</w:t>
      </w:r>
    </w:p>
    <w:p>
      <w:pPr>
        <w:pStyle w:val="Corps"/>
      </w:pPr>
      <w:r>
        <w:t xml:space="preserve">Le statut du rapport de gestion est déterminé par [Statut du rapport de gestion] pour chaque exercice. Une dispense n'est appliquée qu'après vérification des critères en vigueur et ne supprime pas les autres informations ou rapports requis.</w:t>
      </w:r>
    </w:p>
    <w:p>
      <w:pPr>
        <w:pStyle w:val="Intertitre"/>
      </w:pPr>
      <w:r>
        <w:t xml:space="preserve">Clause optionnelle : Approbation annuelle en SARL</w:t>
      </w:r>
    </w:p>
    <w:p>
      <w:pPr>
        <w:pStyle w:val="Corps"/>
      </w:pPr>
      <w:r>
        <w:t xml:space="preserve">Les comptes sont soumis à l'assemblée dans les [Délai d’approbation des comptes] mois de la clôture, avec les documents et rapports requis. L'assemblée statue séparément sur les comptes, l'affectation du résultat, les conventions réglementées et les autres résolutions inscrites.</w:t>
      </w:r>
    </w:p>
    <w:p>
      <w:pPr>
        <w:pStyle w:val="Intertitre"/>
      </w:pPr>
      <w:r>
        <w:t xml:space="preserve">Clause optionnelle : Approbation annuelle en EURL</w:t>
      </w:r>
    </w:p>
    <w:p>
      <w:pPr>
        <w:pStyle w:val="Corps"/>
      </w:pPr>
      <w:r>
        <w:t xml:space="preserve">L'associé unique approuve les comptes dans les [Délai d’approbation des comptes] mois de la clôture et consigne sa décision. Lorsque l'associé unique est seul Gérant, la simplification légale liée au dépôt n'est utilisée qu'après vérification de ses conditions.</w:t>
      </w:r>
    </w:p>
    <w:p>
      <w:pPr>
        <w:pStyle w:val="Intertitre"/>
      </w:pPr>
      <w:r>
        <w:t xml:space="preserve">Affectation du résultat</w:t>
      </w:r>
    </w:p>
    <w:p>
      <w:pPr>
        <w:pStyle w:val="Corps"/>
      </w:pPr>
      <w:r>
        <w:t xml:space="preserve">Après approbation des comptes, le bénéfice distribuable ou la perte est affecté par la décision compétente. La répartition respecte les droits attachés aux parts et ne peut attribuer tout le profit à un associé ni exonérer totalement un autre des pertes.</w:t>
      </w:r>
    </w:p>
    <w:p>
      <w:pPr>
        <w:pStyle w:val="Intertitre"/>
      </w:pPr>
      <w:r>
        <w:t xml:space="preserve">Réserve légale</w:t>
      </w:r>
    </w:p>
    <w:p>
      <w:pPr>
        <w:pStyle w:val="Corps"/>
      </w:pPr>
      <w:r>
        <w:t xml:space="preserve">Il est prélevé sur le bénéfice le taux de [Taux de réserve légale] % jusqu'à ce que la réserve atteigne le seuil légal. Aucun dividende n'est calculé sur une somme qui doit être affectée à cette réserve.</w:t>
      </w:r>
    </w:p>
    <w:p>
      <w:pPr>
        <w:pStyle w:val="Intertitre"/>
      </w:pPr>
      <w:r>
        <w:t xml:space="preserve">Distribution et mise en paiement</w:t>
      </w:r>
    </w:p>
    <w:p>
      <w:pPr>
        <w:pStyle w:val="Corps"/>
      </w:pPr>
      <w:r>
        <w:t xml:space="preserve">Une distribution n'est décidée qu'après constatation de sommes distribuables et respect des réserves. Sa mise en paiement intervient dans [Délai maximal de paiement des dividendes] mois suivant la clôture selon la décision, les retenues et les coordonnées bancaires contrôlées.</w:t>
      </w:r>
    </w:p>
    <w:p>
      <w:pPr>
        <w:pStyle w:val="Intertitre"/>
      </w:pPr>
      <w:r>
        <w:t xml:space="preserve">Affectation des pertes</w:t>
      </w:r>
    </w:p>
    <w:p>
      <w:pPr>
        <w:pStyle w:val="Corps"/>
      </w:pPr>
      <w:r>
        <w:t xml:space="preserve">Les pertes sont traitées selon [Traitement des pertes]. Leur affectation comptable ne dispense pas la gérance de provoquer la décision et les mesures imposées lorsque les capitaux propres franchissent le seuil légal applicable.</w:t>
      </w:r>
    </w:p>
    <w:p>
      <w:pPr>
        <w:pStyle w:val="Intertitre"/>
      </w:pPr>
      <w:r>
        <w:t xml:space="preserve">Perte des capitaux propres au seuil légal</w:t>
      </w:r>
    </w:p>
    <w:p>
      <w:pPr>
        <w:pStyle w:val="Corps"/>
      </w:pPr>
      <w:r>
        <w:t xml:space="preserve">Lorsque les pertes placent les capitaux propres sous le seuil légal imposant une décision des associés, ceux-ci statuent dans les [Délai de décision après perte de la moitié des capitaux propres] mois suivant l'approbation des comptes sur une dissolution anticipée. En cas de poursuite, la société applique les obligations de reconstitution, réduction et publicité dans les délais légaux.</w:t>
      </w:r>
    </w:p>
    <w:p>
      <w:pPr>
        <w:pStyle w:val="Intertitre"/>
      </w:pPr>
      <w:r>
        <w:t xml:space="preserve">Dépôt des comptes</w:t>
      </w:r>
    </w:p>
    <w:p>
      <w:pPr>
        <w:pStyle w:val="Corps"/>
      </w:pPr>
      <w:r>
        <w:t xml:space="preserve">[Responsable du dépôt des comptes] prépare et suit le dépôt des comptes et pièces exigées auprès du Guichet unique dans le délai applicable. Toute option de confidentialité est vérifiée séparément et ne dispense pas du dépôt.</w:t>
      </w:r>
    </w:p>
    <w:p>
      <w:pPr>
        <w:pStyle w:val="Intertitre"/>
      </w:pPr>
      <w:r>
        <w:t xml:space="preserve">Dissolution anticipée</w:t>
      </w:r>
    </w:p>
    <w:p>
      <w:pPr>
        <w:pStyle w:val="Corps"/>
      </w:pPr>
      <w:r>
        <w:t xml:space="preserve">La dissolution anticipée est décidée par les associés ou l'associé unique selon la majorité applicable. La décision nomme le liquidateur, fixe ses pouvoirs, le siège de liquidation et les modalités de reddition des comptes.</w:t>
      </w:r>
    </w:p>
    <w:p>
      <w:pPr>
        <w:pStyle w:val="Intertitre"/>
      </w:pPr>
      <w:r>
        <w:t xml:space="preserve">Liquidation</w:t>
      </w:r>
    </w:p>
    <w:p>
      <w:pPr>
        <w:pStyle w:val="Corps"/>
      </w:pPr>
      <w:r>
        <w:t xml:space="preserve">Après dissolution, la société subsiste pour les besoins de sa liquidation. Le liquidateur réalise l'actif, règle le passif, rend compte de sa mission et soumet le solde, le boni ou le mali à la décision compétente avant radiation.</w:t>
      </w:r>
    </w:p>
    <w:p>
      <w:pPr>
        <w:pStyle w:val="Intertitre"/>
      </w:pPr>
      <w:r>
        <w:t xml:space="preserve">Clause optionnelle : Actes accomplis pour la société en formation</w:t>
      </w:r>
    </w:p>
    <w:p>
      <w:pPr>
        <w:pStyle w:val="Corps"/>
      </w:pPr>
      <w:r>
        <w:t xml:space="preserve">Les engagements conclus avant immatriculation et destinés à être repris figurent dans [État des actes accomplis pour la société en formation]. Chaque acte indique son auteur, sa date, son objet, son montant et le mécanisme de reprise ; aucun engagement non recensé n'est réputé repris par les seuls statuts.</w:t>
      </w:r>
    </w:p>
    <w:p>
      <w:pPr>
        <w:pStyle w:val="Intertitre"/>
      </w:pPr>
      <w:r>
        <w:t xml:space="preserve">Clause optionnelle : Mandat d'agir avant immatriculation</w:t>
      </w:r>
    </w:p>
    <w:p>
      <w:pPr>
        <w:pStyle w:val="Corps"/>
      </w:pPr>
      <w:r>
        <w:t xml:space="preserve">Les fondateurs donnent le mandat suivant : [Mandat avant immatriculation]. Les actes autorisés sont déterminés par leur objet et leurs conditions ; leur reprise après immatriculation est vérifiée selon le mécanisme applicable.</w:t>
      </w:r>
    </w:p>
    <w:p>
      <w:pPr>
        <w:pStyle w:val="Intertitre"/>
      </w:pPr>
      <w:r>
        <w:t xml:space="preserve">Acquisition de la personnalité morale</w:t>
      </w:r>
    </w:p>
    <w:p>
      <w:pPr>
        <w:pStyle w:val="Corps"/>
      </w:pPr>
      <w:r>
        <w:t xml:space="preserve">La société jouit de la personnalité morale à compter de son immatriculation. Avant cette date, les personnes ayant agi répondent des engagements souscrits tant qu'ils n'ont pas été régulièrement repris par la société.</w:t>
      </w:r>
    </w:p>
    <w:p>
      <w:pPr>
        <w:pStyle w:val="Intertitre"/>
      </w:pPr>
      <w:r>
        <w:t xml:space="preserve">Avis de constitution</w:t>
      </w:r>
    </w:p>
    <w:p>
      <w:pPr>
        <w:pStyle w:val="Corps"/>
      </w:pPr>
      <w:r>
        <w:t xml:space="preserve">L'avis de constitution reprend fidèlement les statuts signés et est identifié par [Référence de l'annonce légale]. Toute divergence sur la dénomination, le capital, le siège, l'objet, la durée ou la gérance est corrigée avant poursuite de la formalité.</w:t>
      </w:r>
    </w:p>
    <w:p>
      <w:pPr>
        <w:pStyle w:val="Intertitre"/>
      </w:pPr>
      <w:r>
        <w:t xml:space="preserve">Immatriculation au Guichet unique</w:t>
      </w:r>
    </w:p>
    <w:p>
      <w:pPr>
        <w:pStyle w:val="Corps"/>
      </w:pPr>
      <w:r>
        <w:t xml:space="preserve">[Mandataire des formalités] dépose au Guichet unique le dossier comprenant : [Pièces d'immatriculation]. Cette personne suit les demandes de régularisation. Les frais de constitution sont traités selon [Prise en charge des frais de constitution]. La formalité est accomplie à partir de la version signée et des pièces relatives au siège, à la Gérance, aux apports, aux bénéficiaires effectifs et à l’activité.</w:t>
      </w:r>
    </w:p>
    <w:p>
      <w:pPr>
        <w:pStyle w:val="Intertitre"/>
      </w:pPr>
      <w:r>
        <w:t xml:space="preserve">Annexes constitutives</w:t>
      </w:r>
    </w:p>
    <w:p>
      <w:pPr>
        <w:pStyle w:val="Corps"/>
      </w:pPr>
      <w:r>
        <w:t xml:space="preserve">Sont annexés ou conservés avec les présents statuts les documents suivants : [Annexes aux statuts]. Selon la situation, cet ensemble comprend notamment les rapports d’apports, certificats de dépôt, états des actes accomplis pour la société en formation, décisions de dispense, pouvoirs et autres pièces requises.</w:t>
      </w:r>
    </w:p>
    <w:p>
      <w:pPr>
        <w:pStyle w:val="Intertitre"/>
      </w:pPr>
      <w:r>
        <w:t xml:space="preserve">Signature des statuts</w:t>
      </w:r>
    </w:p>
    <w:p>
      <w:pPr>
        <w:pStyle w:val="Corps"/>
      </w:pPr>
      <w:r>
        <w:t xml:space="preserve">La version des présents statuts identifiée comme [Référence de la version des statuts] est établie à [Lieu de signature], le [Date de signature], en [Nombre d'originaux] exemplaires ou copies définitives, selon la modalité suivante : [Mode de signature]. Signent les fondateurs ou représentants suivants : [Signataires fondateurs].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